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2A48" w14:textId="77777777" w:rsidR="00895256" w:rsidRPr="00895256" w:rsidRDefault="00895256" w:rsidP="00895256">
      <w:pPr>
        <w:widowControl/>
        <w:tabs>
          <w:tab w:val="left" w:pos="-5400"/>
          <w:tab w:val="left" w:pos="-3330"/>
        </w:tabs>
        <w:autoSpaceDE/>
        <w:autoSpaceDN/>
        <w:jc w:val="both"/>
        <w:rPr>
          <w:rFonts w:ascii="Georgia" w:eastAsia="Georgia" w:hAnsi="Georgia" w:cs="Georgia"/>
          <w:b/>
          <w:sz w:val="28"/>
          <w:szCs w:val="28"/>
        </w:rPr>
      </w:pPr>
      <w:bookmarkStart w:id="0" w:name="_Hlk182137346"/>
      <w:r w:rsidRPr="00895256">
        <w:rPr>
          <w:rFonts w:ascii="Georgia" w:eastAsia="Georgia" w:hAnsi="Georgia" w:cs="Georgia"/>
          <w:b/>
          <w:sz w:val="28"/>
          <w:szCs w:val="28"/>
        </w:rPr>
        <w:t>Membangun Kesadaran Remaja Tentang Pencegahan Kekerasan Seksual Melalui Pendidikan Kesehatan Di SMP 12 Kota Kendari</w:t>
      </w:r>
    </w:p>
    <w:p w14:paraId="422C0C22" w14:textId="77777777" w:rsidR="00895256" w:rsidRPr="00895256" w:rsidRDefault="00895256" w:rsidP="00895256">
      <w:pPr>
        <w:widowControl/>
        <w:autoSpaceDE/>
        <w:autoSpaceDN/>
        <w:jc w:val="center"/>
        <w:rPr>
          <w:rFonts w:ascii="Georgia" w:eastAsia="Georgia" w:hAnsi="Georgia" w:cs="Georgia"/>
          <w:b/>
          <w:sz w:val="28"/>
          <w:szCs w:val="28"/>
        </w:rPr>
      </w:pPr>
    </w:p>
    <w:p w14:paraId="2EDA577C" w14:textId="4C3362BE" w:rsidR="00895256" w:rsidRPr="00895256" w:rsidRDefault="00895256" w:rsidP="00895256">
      <w:pPr>
        <w:widowControl/>
        <w:autoSpaceDE/>
        <w:autoSpaceDN/>
        <w:jc w:val="center"/>
        <w:rPr>
          <w:rFonts w:ascii="Georgia" w:hAnsi="Georgia"/>
          <w:b/>
          <w:bCs/>
          <w:sz w:val="20"/>
          <w:szCs w:val="20"/>
          <w:vertAlign w:val="superscript"/>
        </w:rPr>
      </w:pPr>
      <w:r w:rsidRPr="00895256">
        <w:rPr>
          <w:rFonts w:ascii="Georgia" w:hAnsi="Georgia"/>
          <w:b/>
          <w:bCs/>
          <w:sz w:val="20"/>
          <w:szCs w:val="20"/>
        </w:rPr>
        <w:t>Muhammad Al Rajab</w:t>
      </w:r>
      <w:r w:rsidRPr="00895256">
        <w:rPr>
          <w:rFonts w:ascii="Georgia" w:hAnsi="Georgia"/>
          <w:b/>
          <w:bCs/>
          <w:sz w:val="20"/>
          <w:szCs w:val="20"/>
          <w:vertAlign w:val="superscript"/>
        </w:rPr>
        <w:t>1</w:t>
      </w:r>
      <w:r w:rsidRPr="00895256">
        <w:rPr>
          <w:rFonts w:ascii="Georgia" w:hAnsi="Georgia"/>
          <w:b/>
          <w:bCs/>
          <w:sz w:val="20"/>
          <w:szCs w:val="20"/>
        </w:rPr>
        <w:t>, Rania Fatrizza Pritami</w:t>
      </w:r>
      <w:r w:rsidRPr="00895256">
        <w:rPr>
          <w:rFonts w:ascii="Georgia" w:hAnsi="Georgia"/>
          <w:b/>
          <w:bCs/>
          <w:sz w:val="20"/>
          <w:szCs w:val="20"/>
          <w:vertAlign w:val="superscript"/>
        </w:rPr>
        <w:t>1</w:t>
      </w:r>
      <w:r w:rsidRPr="00895256">
        <w:rPr>
          <w:rFonts w:ascii="Georgia" w:hAnsi="Georgia"/>
          <w:b/>
          <w:bCs/>
          <w:sz w:val="20"/>
          <w:szCs w:val="20"/>
        </w:rPr>
        <w:t>,  Fajar Kurniawan</w:t>
      </w:r>
      <w:r w:rsidRPr="00895256">
        <w:rPr>
          <w:rFonts w:ascii="Georgia" w:hAnsi="Georgia"/>
          <w:b/>
          <w:bCs/>
          <w:sz w:val="20"/>
          <w:szCs w:val="20"/>
          <w:vertAlign w:val="superscript"/>
        </w:rPr>
        <w:t>1</w:t>
      </w:r>
      <w:r w:rsidRPr="00895256">
        <w:rPr>
          <w:rFonts w:ascii="Georgia" w:hAnsi="Georgia"/>
          <w:b/>
          <w:bCs/>
          <w:sz w:val="20"/>
          <w:szCs w:val="20"/>
        </w:rPr>
        <w:t>, Lisnawati</w:t>
      </w:r>
      <w:r w:rsidRPr="00895256">
        <w:rPr>
          <w:rFonts w:ascii="Georgia" w:hAnsi="Georgia"/>
          <w:b/>
          <w:bCs/>
          <w:sz w:val="20"/>
          <w:szCs w:val="20"/>
          <w:vertAlign w:val="superscript"/>
        </w:rPr>
        <w:t>1</w:t>
      </w:r>
      <w:r w:rsidRPr="00895256">
        <w:rPr>
          <w:rFonts w:ascii="Georgia" w:hAnsi="Georgia"/>
          <w:b/>
          <w:bCs/>
          <w:sz w:val="20"/>
          <w:szCs w:val="20"/>
        </w:rPr>
        <w:t xml:space="preserve"> , Tawakal</w:t>
      </w:r>
      <w:r w:rsidRPr="00895256">
        <w:rPr>
          <w:rFonts w:ascii="Georgia" w:hAnsi="Georgia"/>
          <w:b/>
          <w:bCs/>
          <w:sz w:val="20"/>
          <w:szCs w:val="20"/>
          <w:vertAlign w:val="superscript"/>
        </w:rPr>
        <w:t>1</w:t>
      </w:r>
      <w:r w:rsidRPr="00895256">
        <w:rPr>
          <w:rFonts w:ascii="Georgia" w:hAnsi="Georgia"/>
          <w:b/>
          <w:bCs/>
          <w:sz w:val="20"/>
          <w:szCs w:val="20"/>
        </w:rPr>
        <w:t>, Sultan Andilah</w:t>
      </w:r>
      <w:r w:rsidRPr="00895256">
        <w:rPr>
          <w:rFonts w:ascii="Georgia" w:hAnsi="Georgia"/>
          <w:b/>
          <w:bCs/>
          <w:sz w:val="20"/>
          <w:szCs w:val="20"/>
          <w:vertAlign w:val="superscript"/>
        </w:rPr>
        <w:t>1</w:t>
      </w:r>
      <w:r w:rsidRPr="00895256">
        <w:rPr>
          <w:rFonts w:ascii="Georgia" w:hAnsi="Georgia"/>
          <w:b/>
          <w:bCs/>
          <w:sz w:val="20"/>
          <w:szCs w:val="20"/>
        </w:rPr>
        <w:t>, Marheni Fadilah Harun</w:t>
      </w:r>
      <w:r w:rsidRPr="00895256">
        <w:rPr>
          <w:rFonts w:ascii="Georgia" w:hAnsi="Georgia"/>
          <w:b/>
          <w:bCs/>
          <w:sz w:val="20"/>
          <w:szCs w:val="20"/>
          <w:vertAlign w:val="superscript"/>
        </w:rPr>
        <w:t>1</w:t>
      </w:r>
      <w:r w:rsidRPr="00895256">
        <w:rPr>
          <w:rFonts w:ascii="Georgia" w:hAnsi="Georgia"/>
          <w:b/>
          <w:bCs/>
          <w:sz w:val="20"/>
          <w:szCs w:val="20"/>
        </w:rPr>
        <w:t>, Fitri Kurniawati</w:t>
      </w:r>
      <w:r w:rsidRPr="00895256">
        <w:rPr>
          <w:rFonts w:ascii="Georgia" w:hAnsi="Georgia"/>
          <w:b/>
          <w:bCs/>
          <w:sz w:val="20"/>
          <w:szCs w:val="20"/>
          <w:vertAlign w:val="superscript"/>
        </w:rPr>
        <w:t>1</w:t>
      </w:r>
      <w:r w:rsidRPr="00895256">
        <w:rPr>
          <w:rFonts w:ascii="Georgia" w:hAnsi="Georgia"/>
          <w:b/>
          <w:bCs/>
          <w:sz w:val="20"/>
          <w:szCs w:val="20"/>
        </w:rPr>
        <w:t>, Noviani Munsir</w:t>
      </w:r>
      <w:r w:rsidRPr="00895256">
        <w:rPr>
          <w:rFonts w:ascii="Georgia" w:hAnsi="Georgia"/>
          <w:b/>
          <w:bCs/>
          <w:sz w:val="20"/>
          <w:szCs w:val="20"/>
          <w:vertAlign w:val="superscript"/>
        </w:rPr>
        <w:t>1</w:t>
      </w:r>
      <w:r w:rsidRPr="00895256">
        <w:rPr>
          <w:rFonts w:ascii="Georgia" w:hAnsi="Georgia"/>
          <w:b/>
          <w:bCs/>
          <w:sz w:val="20"/>
          <w:szCs w:val="20"/>
        </w:rPr>
        <w:t>,  Ira Nurmala</w:t>
      </w:r>
      <w:r w:rsidRPr="00895256">
        <w:rPr>
          <w:rFonts w:ascii="Georgia" w:hAnsi="Georgia"/>
          <w:b/>
          <w:bCs/>
          <w:sz w:val="20"/>
          <w:szCs w:val="20"/>
          <w:vertAlign w:val="superscript"/>
        </w:rPr>
        <w:t>2</w:t>
      </w:r>
      <w:r w:rsidRPr="00895256">
        <w:rPr>
          <w:rFonts w:ascii="Georgia" w:hAnsi="Georgia"/>
          <w:b/>
          <w:bCs/>
          <w:sz w:val="20"/>
          <w:szCs w:val="20"/>
        </w:rPr>
        <w:t>,</w:t>
      </w:r>
      <w:r w:rsidR="007222DE">
        <w:rPr>
          <w:rFonts w:ascii="Georgia" w:hAnsi="Georgia"/>
          <w:b/>
          <w:bCs/>
          <w:sz w:val="20"/>
          <w:szCs w:val="20"/>
        </w:rPr>
        <w:t xml:space="preserve"> </w:t>
      </w:r>
      <w:r w:rsidR="007222DE" w:rsidRPr="007222DE">
        <w:rPr>
          <w:rFonts w:ascii="Georgia" w:hAnsi="Georgia"/>
          <w:b/>
          <w:bCs/>
          <w:sz w:val="20"/>
          <w:szCs w:val="20"/>
        </w:rPr>
        <w:t>Efa Kelya Nasrun</w:t>
      </w:r>
      <w:r w:rsidR="007222DE" w:rsidRPr="007222DE">
        <w:rPr>
          <w:rFonts w:ascii="BookAntiqua-Bold" w:eastAsiaTheme="minorHAnsi" w:hAnsi="BookAntiqua-Bold" w:cs="BookAntiqua-Bold"/>
          <w:b/>
          <w:bCs/>
          <w:vertAlign w:val="superscript"/>
          <w14:ligatures w14:val="standardContextual"/>
        </w:rPr>
        <w:t>3</w:t>
      </w:r>
      <w:r w:rsidRPr="00895256">
        <w:rPr>
          <w:rFonts w:ascii="Georgia" w:hAnsi="Georgia"/>
          <w:b/>
          <w:bCs/>
          <w:sz w:val="20"/>
          <w:szCs w:val="20"/>
        </w:rPr>
        <w:t xml:space="preserve"> Teti Susliyanti Hasiu</w:t>
      </w:r>
      <w:r w:rsidRPr="00895256">
        <w:rPr>
          <w:rFonts w:ascii="Georgia" w:hAnsi="Georgia"/>
          <w:b/>
          <w:bCs/>
          <w:sz w:val="20"/>
          <w:szCs w:val="20"/>
          <w:vertAlign w:val="superscript"/>
        </w:rPr>
        <w:t>4</w:t>
      </w:r>
      <w:r w:rsidRPr="00895256">
        <w:rPr>
          <w:rFonts w:ascii="Georgia" w:hAnsi="Georgia"/>
          <w:b/>
          <w:bCs/>
          <w:sz w:val="20"/>
          <w:szCs w:val="20"/>
        </w:rPr>
        <w:t>,  Hasmita</w:t>
      </w:r>
      <w:r w:rsidRPr="00895256">
        <w:rPr>
          <w:rFonts w:ascii="Georgia" w:hAnsi="Georgia"/>
          <w:b/>
          <w:bCs/>
          <w:sz w:val="20"/>
          <w:szCs w:val="20"/>
          <w:vertAlign w:val="superscript"/>
        </w:rPr>
        <w:t>5</w:t>
      </w:r>
      <w:r w:rsidRPr="00895256">
        <w:rPr>
          <w:rFonts w:ascii="Georgia" w:hAnsi="Georgia"/>
          <w:b/>
          <w:bCs/>
          <w:sz w:val="20"/>
          <w:szCs w:val="20"/>
        </w:rPr>
        <w:t>, Della Widyastika</w:t>
      </w:r>
      <w:r w:rsidRPr="00895256">
        <w:rPr>
          <w:rFonts w:ascii="Georgia" w:hAnsi="Georgia"/>
          <w:b/>
          <w:bCs/>
          <w:sz w:val="20"/>
          <w:szCs w:val="20"/>
          <w:vertAlign w:val="superscript"/>
        </w:rPr>
        <w:t>5</w:t>
      </w:r>
    </w:p>
    <w:p w14:paraId="095AEF71" w14:textId="77777777" w:rsidR="00895256" w:rsidRPr="00895256" w:rsidRDefault="00895256" w:rsidP="00895256">
      <w:pPr>
        <w:widowControl/>
        <w:autoSpaceDE/>
        <w:autoSpaceDN/>
        <w:jc w:val="center"/>
        <w:rPr>
          <w:b/>
          <w:bCs/>
          <w:vertAlign w:val="superscript"/>
        </w:rPr>
      </w:pPr>
    </w:p>
    <w:p w14:paraId="00A068CB" w14:textId="77777777" w:rsidR="00895256" w:rsidRPr="00895256" w:rsidRDefault="00895256" w:rsidP="00895256">
      <w:pPr>
        <w:widowControl/>
        <w:autoSpaceDE/>
        <w:autoSpaceDN/>
        <w:jc w:val="center"/>
        <w:rPr>
          <w:b/>
          <w:bCs/>
          <w:i/>
          <w:iCs/>
          <w:sz w:val="18"/>
          <w:szCs w:val="12"/>
        </w:rPr>
      </w:pPr>
    </w:p>
    <w:p w14:paraId="628C2D75" w14:textId="7AFC9A2D" w:rsidR="00895256" w:rsidRPr="00895256" w:rsidRDefault="00895256" w:rsidP="000B35CA">
      <w:pPr>
        <w:widowControl/>
        <w:autoSpaceDE/>
        <w:autoSpaceDN/>
        <w:ind w:left="270" w:hanging="270"/>
        <w:rPr>
          <w:rFonts w:ascii="Georgia" w:hAnsi="Georgia"/>
          <w:b/>
          <w:bCs/>
          <w:i/>
          <w:iCs/>
          <w:sz w:val="20"/>
          <w:szCs w:val="20"/>
        </w:rPr>
      </w:pPr>
      <w:r w:rsidRPr="00895256">
        <w:rPr>
          <w:rFonts w:ascii="Georgia" w:hAnsi="Georgia"/>
          <w:b/>
          <w:bCs/>
          <w:i/>
          <w:iCs/>
          <w:sz w:val="20"/>
          <w:szCs w:val="20"/>
        </w:rPr>
        <w:t xml:space="preserve">1, </w:t>
      </w:r>
      <w:r w:rsidR="000B35CA">
        <w:rPr>
          <w:rFonts w:ascii="Georgia" w:hAnsi="Georgia"/>
          <w:b/>
          <w:bCs/>
          <w:i/>
          <w:iCs/>
          <w:sz w:val="20"/>
          <w:szCs w:val="20"/>
        </w:rPr>
        <w:t xml:space="preserve"> </w:t>
      </w:r>
      <w:r w:rsidRPr="00895256">
        <w:rPr>
          <w:rFonts w:ascii="Georgia" w:hAnsi="Georgia"/>
          <w:b/>
          <w:bCs/>
          <w:i/>
          <w:iCs/>
          <w:sz w:val="20"/>
          <w:szCs w:val="20"/>
        </w:rPr>
        <w:t>Dosen Prodi Administrasi Rumah Sakit, STIKes Pelita Ibu, Kota Kendari Provinsi</w:t>
      </w:r>
      <w:r w:rsidR="000B35CA">
        <w:rPr>
          <w:rFonts w:ascii="Georgia" w:hAnsi="Georgia"/>
          <w:b/>
          <w:bCs/>
          <w:i/>
          <w:iCs/>
          <w:sz w:val="20"/>
          <w:szCs w:val="20"/>
        </w:rPr>
        <w:t xml:space="preserve"> </w:t>
      </w:r>
      <w:r w:rsidRPr="00895256">
        <w:rPr>
          <w:rFonts w:ascii="Georgia" w:hAnsi="Georgia"/>
          <w:b/>
          <w:bCs/>
          <w:i/>
          <w:iCs/>
          <w:sz w:val="20"/>
          <w:szCs w:val="20"/>
        </w:rPr>
        <w:t>Sulawesi Tenggara Indonesia</w:t>
      </w:r>
    </w:p>
    <w:p w14:paraId="36B8C845" w14:textId="77777777" w:rsidR="00895256" w:rsidRPr="00895256" w:rsidRDefault="00895256" w:rsidP="000B35CA">
      <w:pPr>
        <w:widowControl/>
        <w:autoSpaceDE/>
        <w:autoSpaceDN/>
        <w:ind w:left="270" w:hanging="270"/>
        <w:rPr>
          <w:rFonts w:ascii="Georgia" w:hAnsi="Georgia"/>
          <w:b/>
          <w:bCs/>
          <w:i/>
          <w:iCs/>
          <w:sz w:val="20"/>
          <w:szCs w:val="20"/>
        </w:rPr>
      </w:pPr>
      <w:r w:rsidRPr="00895256">
        <w:rPr>
          <w:rFonts w:ascii="Georgia" w:hAnsi="Georgia"/>
          <w:b/>
          <w:bCs/>
          <w:i/>
          <w:iCs/>
          <w:sz w:val="20"/>
          <w:szCs w:val="20"/>
        </w:rPr>
        <w:t>2, Dosen Prodi Farmasi, STIKes Pelita Ibu, Kota Kendari Provinsi</w:t>
      </w:r>
    </w:p>
    <w:p w14:paraId="69E7CA4B" w14:textId="4A66BA01" w:rsidR="00895256" w:rsidRPr="00E4365F" w:rsidRDefault="00895256" w:rsidP="000B35CA">
      <w:pPr>
        <w:widowControl/>
        <w:autoSpaceDE/>
        <w:autoSpaceDN/>
        <w:ind w:left="270"/>
        <w:rPr>
          <w:rFonts w:ascii="Georgia" w:hAnsi="Georgia"/>
          <w:b/>
          <w:bCs/>
          <w:i/>
          <w:iCs/>
          <w:sz w:val="20"/>
          <w:szCs w:val="20"/>
        </w:rPr>
      </w:pPr>
      <w:r w:rsidRPr="00895256">
        <w:rPr>
          <w:rFonts w:ascii="Georgia" w:hAnsi="Georgia"/>
          <w:b/>
          <w:bCs/>
          <w:i/>
          <w:iCs/>
          <w:sz w:val="20"/>
          <w:szCs w:val="20"/>
        </w:rPr>
        <w:t>Sulawesi Tenggara Indonesia</w:t>
      </w:r>
    </w:p>
    <w:p w14:paraId="445D71EB" w14:textId="1EE11F3E" w:rsidR="007222DE" w:rsidRPr="00895256" w:rsidRDefault="007222DE" w:rsidP="000B35CA">
      <w:pPr>
        <w:widowControl/>
        <w:autoSpaceDE/>
        <w:autoSpaceDN/>
        <w:ind w:left="270" w:hanging="270"/>
        <w:rPr>
          <w:rFonts w:ascii="Georgia" w:hAnsi="Georgia"/>
          <w:b/>
          <w:bCs/>
          <w:i/>
          <w:iCs/>
          <w:sz w:val="20"/>
          <w:szCs w:val="20"/>
        </w:rPr>
      </w:pPr>
      <w:r w:rsidRPr="00E4365F">
        <w:rPr>
          <w:rFonts w:ascii="Georgia" w:hAnsi="Georgia"/>
          <w:b/>
          <w:bCs/>
          <w:i/>
          <w:iCs/>
          <w:sz w:val="20"/>
          <w:szCs w:val="20"/>
        </w:rPr>
        <w:t>3</w:t>
      </w:r>
      <w:r w:rsidRPr="00895256">
        <w:rPr>
          <w:rFonts w:ascii="Georgia" w:hAnsi="Georgia"/>
          <w:b/>
          <w:bCs/>
          <w:i/>
          <w:iCs/>
          <w:sz w:val="20"/>
          <w:szCs w:val="20"/>
        </w:rPr>
        <w:t xml:space="preserve">, Dosen Prodi </w:t>
      </w:r>
      <w:r w:rsidRPr="00E4365F">
        <w:rPr>
          <w:rFonts w:ascii="Georgia" w:hAnsi="Georgia"/>
          <w:b/>
          <w:bCs/>
          <w:i/>
          <w:iCs/>
          <w:sz w:val="20"/>
          <w:szCs w:val="20"/>
        </w:rPr>
        <w:t>Profesi Kebidanan</w:t>
      </w:r>
      <w:r w:rsidRPr="00895256">
        <w:rPr>
          <w:rFonts w:ascii="Georgia" w:hAnsi="Georgia"/>
          <w:b/>
          <w:bCs/>
          <w:i/>
          <w:iCs/>
          <w:sz w:val="20"/>
          <w:szCs w:val="20"/>
        </w:rPr>
        <w:t>, STIKes Pelita Ibu, Kota Kendari Provinsi</w:t>
      </w:r>
    </w:p>
    <w:p w14:paraId="4FE8101F" w14:textId="77777777" w:rsidR="007222DE" w:rsidRPr="00E4365F" w:rsidRDefault="007222DE" w:rsidP="000B35CA">
      <w:pPr>
        <w:widowControl/>
        <w:autoSpaceDE/>
        <w:autoSpaceDN/>
        <w:ind w:left="270"/>
        <w:rPr>
          <w:rFonts w:ascii="Georgia" w:hAnsi="Georgia"/>
          <w:b/>
          <w:bCs/>
          <w:i/>
          <w:iCs/>
          <w:sz w:val="20"/>
          <w:szCs w:val="20"/>
        </w:rPr>
      </w:pPr>
      <w:r w:rsidRPr="00895256">
        <w:rPr>
          <w:rFonts w:ascii="Georgia" w:hAnsi="Georgia"/>
          <w:b/>
          <w:bCs/>
          <w:i/>
          <w:iCs/>
          <w:sz w:val="20"/>
          <w:szCs w:val="20"/>
        </w:rPr>
        <w:t>Sulawesi Tenggara Indonesia</w:t>
      </w:r>
    </w:p>
    <w:p w14:paraId="68990301" w14:textId="77B90E39" w:rsidR="00E4365F" w:rsidRPr="00E4365F" w:rsidRDefault="00895256" w:rsidP="000B35CA">
      <w:pPr>
        <w:widowControl/>
        <w:autoSpaceDE/>
        <w:autoSpaceDN/>
        <w:ind w:left="270" w:hanging="270"/>
        <w:rPr>
          <w:rFonts w:ascii="Georgia" w:hAnsi="Georgia"/>
          <w:b/>
          <w:bCs/>
          <w:i/>
          <w:iCs/>
          <w:sz w:val="20"/>
          <w:szCs w:val="20"/>
        </w:rPr>
      </w:pPr>
      <w:r w:rsidRPr="00895256">
        <w:rPr>
          <w:rFonts w:ascii="Georgia" w:hAnsi="Georgia"/>
          <w:b/>
          <w:bCs/>
          <w:i/>
          <w:iCs/>
          <w:sz w:val="20"/>
          <w:szCs w:val="20"/>
        </w:rPr>
        <w:t>4. Dosen Prodi Kesehatan Masyarakat, STIKES IST Buton</w:t>
      </w:r>
      <w:r w:rsidR="00E4365F" w:rsidRPr="00E4365F">
        <w:rPr>
          <w:rFonts w:ascii="Georgia" w:hAnsi="Georgia"/>
          <w:b/>
          <w:bCs/>
          <w:i/>
          <w:iCs/>
          <w:sz w:val="20"/>
          <w:szCs w:val="20"/>
        </w:rPr>
        <w:t xml:space="preserve">, Kota Baubau, </w:t>
      </w:r>
      <w:r w:rsidR="00E4365F" w:rsidRPr="00895256">
        <w:rPr>
          <w:rFonts w:ascii="Georgia" w:hAnsi="Georgia"/>
          <w:b/>
          <w:bCs/>
          <w:i/>
          <w:iCs/>
          <w:sz w:val="20"/>
          <w:szCs w:val="20"/>
        </w:rPr>
        <w:t>Provinsi</w:t>
      </w:r>
      <w:r w:rsidR="000B35CA">
        <w:rPr>
          <w:rFonts w:ascii="Georgia" w:hAnsi="Georgia"/>
          <w:b/>
          <w:bCs/>
          <w:i/>
          <w:iCs/>
          <w:sz w:val="20"/>
          <w:szCs w:val="20"/>
        </w:rPr>
        <w:t xml:space="preserve"> </w:t>
      </w:r>
      <w:r w:rsidR="00E4365F" w:rsidRPr="00895256">
        <w:rPr>
          <w:rFonts w:ascii="Georgia" w:hAnsi="Georgia"/>
          <w:b/>
          <w:bCs/>
          <w:i/>
          <w:iCs/>
          <w:sz w:val="20"/>
          <w:szCs w:val="20"/>
        </w:rPr>
        <w:t>Sulawesi Tenggara Indonesia</w:t>
      </w:r>
    </w:p>
    <w:p w14:paraId="2D40A0BE" w14:textId="1981026A" w:rsidR="00895256" w:rsidRPr="00895256" w:rsidRDefault="00895256" w:rsidP="000B35CA">
      <w:pPr>
        <w:widowControl/>
        <w:autoSpaceDE/>
        <w:autoSpaceDN/>
        <w:ind w:left="270" w:hanging="270"/>
        <w:rPr>
          <w:rFonts w:ascii="Georgia" w:hAnsi="Georgia"/>
          <w:b/>
          <w:bCs/>
          <w:i/>
          <w:iCs/>
          <w:sz w:val="20"/>
          <w:szCs w:val="20"/>
        </w:rPr>
      </w:pPr>
      <w:r w:rsidRPr="00895256">
        <w:rPr>
          <w:rFonts w:ascii="Georgia" w:hAnsi="Georgia"/>
          <w:b/>
          <w:bCs/>
          <w:i/>
          <w:iCs/>
          <w:sz w:val="20"/>
          <w:szCs w:val="20"/>
        </w:rPr>
        <w:t>5, Mahasiswa, Prodi Administrasi Rumah Sakit STIKes Pelita Ibu, Kota Kendari Provinsi</w:t>
      </w:r>
      <w:r w:rsidR="000B35CA">
        <w:rPr>
          <w:rFonts w:ascii="Georgia" w:hAnsi="Georgia"/>
          <w:b/>
          <w:bCs/>
          <w:i/>
          <w:iCs/>
          <w:sz w:val="20"/>
          <w:szCs w:val="20"/>
        </w:rPr>
        <w:t xml:space="preserve"> </w:t>
      </w:r>
      <w:r w:rsidRPr="00895256">
        <w:rPr>
          <w:rFonts w:ascii="Georgia" w:hAnsi="Georgia"/>
          <w:b/>
          <w:bCs/>
          <w:i/>
          <w:iCs/>
          <w:sz w:val="20"/>
          <w:szCs w:val="20"/>
        </w:rPr>
        <w:t>Sulawesi Tenggara Indonesia</w:t>
      </w:r>
    </w:p>
    <w:p w14:paraId="23636EE5" w14:textId="77777777" w:rsidR="00895256" w:rsidRPr="00895256" w:rsidRDefault="00895256" w:rsidP="007222DE">
      <w:pPr>
        <w:widowControl/>
        <w:autoSpaceDE/>
        <w:autoSpaceDN/>
        <w:rPr>
          <w:b/>
          <w:bCs/>
          <w:i/>
          <w:iCs/>
          <w:szCs w:val="18"/>
        </w:rPr>
      </w:pPr>
    </w:p>
    <w:p w14:paraId="38A200D0" w14:textId="77777777" w:rsidR="00895256" w:rsidRPr="00895256" w:rsidRDefault="00895256" w:rsidP="007222DE">
      <w:pPr>
        <w:widowControl/>
        <w:autoSpaceDE/>
        <w:autoSpaceDN/>
        <w:rPr>
          <w:rFonts w:ascii="Georgia" w:eastAsia="Georgia" w:hAnsi="Georgia" w:cs="Georgia"/>
          <w:i/>
          <w:sz w:val="20"/>
          <w:szCs w:val="20"/>
        </w:rPr>
      </w:pPr>
      <w:r w:rsidRPr="00895256">
        <w:rPr>
          <w:rFonts w:ascii="Georgia" w:eastAsia="Georgia" w:hAnsi="Georgia" w:cs="Georgia"/>
          <w:i/>
          <w:color w:val="000000"/>
          <w:sz w:val="20"/>
          <w:szCs w:val="20"/>
        </w:rPr>
        <w:t xml:space="preserve">Email </w:t>
      </w:r>
      <w:r w:rsidRPr="00895256">
        <w:rPr>
          <w:rFonts w:ascii="Georgia" w:eastAsia="Georgia" w:hAnsi="Georgia" w:cs="Georgia"/>
          <w:i/>
          <w:sz w:val="20"/>
          <w:szCs w:val="20"/>
        </w:rPr>
        <w:t>korespondensi: alrajab.muhammad@gmail.com</w:t>
      </w:r>
    </w:p>
    <w:tbl>
      <w:tblPr>
        <w:tblW w:w="850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3159"/>
        <w:gridCol w:w="5346"/>
      </w:tblGrid>
      <w:tr w:rsidR="00895256" w:rsidRPr="00895256" w14:paraId="5AD1BD8F" w14:textId="77777777" w:rsidTr="001D07AC">
        <w:tc>
          <w:tcPr>
            <w:tcW w:w="8505" w:type="dxa"/>
            <w:gridSpan w:val="2"/>
          </w:tcPr>
          <w:p w14:paraId="2A8F6992"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p>
        </w:tc>
      </w:tr>
      <w:tr w:rsidR="00895256" w:rsidRPr="00895256" w14:paraId="3F19E621" w14:textId="77777777" w:rsidTr="001D07AC">
        <w:tc>
          <w:tcPr>
            <w:tcW w:w="3159" w:type="dxa"/>
          </w:tcPr>
          <w:p w14:paraId="3B6207A4" w14:textId="29E6ACCB" w:rsidR="00895256" w:rsidRPr="00895256" w:rsidRDefault="001C4142" w:rsidP="00895256">
            <w:pPr>
              <w:widowControl/>
              <w:pBdr>
                <w:top w:val="nil"/>
                <w:left w:val="nil"/>
                <w:bottom w:val="nil"/>
                <w:right w:val="nil"/>
                <w:between w:val="nil"/>
              </w:pBdr>
              <w:autoSpaceDE/>
              <w:autoSpaceDN/>
              <w:spacing w:line="312" w:lineRule="auto"/>
              <w:rPr>
                <w:rFonts w:ascii="Georgia" w:eastAsia="Georgia" w:hAnsi="Georgia" w:cs="Georgia"/>
                <w:b/>
                <w:color w:val="000000"/>
                <w:sz w:val="18"/>
                <w:szCs w:val="18"/>
              </w:rPr>
            </w:pPr>
            <w:r w:rsidRPr="00895256">
              <w:rPr>
                <w:noProof/>
                <w:szCs w:val="24"/>
              </w:rPr>
              <mc:AlternateContent>
                <mc:Choice Requires="wps">
                  <w:drawing>
                    <wp:anchor distT="0" distB="0" distL="114300" distR="114300" simplePos="0" relativeHeight="251663360" behindDoc="0" locked="0" layoutInCell="1" hidden="0" allowOverlap="1" wp14:anchorId="61C68332" wp14:editId="7FC6EEF4">
                      <wp:simplePos x="0" y="0"/>
                      <wp:positionH relativeFrom="column">
                        <wp:posOffset>-12065</wp:posOffset>
                      </wp:positionH>
                      <wp:positionV relativeFrom="paragraph">
                        <wp:posOffset>137795</wp:posOffset>
                      </wp:positionV>
                      <wp:extent cx="5270500" cy="45719"/>
                      <wp:effectExtent l="19050" t="19050" r="25400" b="31115"/>
                      <wp:wrapNone/>
                      <wp:docPr id="6" name="Straight Arrow Connector 6"/>
                      <wp:cNvGraphicFramePr/>
                      <a:graphic xmlns:a="http://schemas.openxmlformats.org/drawingml/2006/main">
                        <a:graphicData uri="http://schemas.microsoft.com/office/word/2010/wordprocessingShape">
                          <wps:wsp>
                            <wps:cNvCnPr/>
                            <wps:spPr>
                              <a:xfrm>
                                <a:off x="0" y="0"/>
                                <a:ext cx="5270500" cy="45719"/>
                              </a:xfrm>
                              <a:prstGeom prst="straightConnector1">
                                <a:avLst/>
                              </a:prstGeom>
                              <a:noFill/>
                              <a:ln w="28575" cap="flat" cmpd="thickThin">
                                <a:solidFill>
                                  <a:sysClr val="windowText" lastClr="000000">
                                    <a:alpha val="98823"/>
                                  </a:sysClr>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6F21BA7C" id="_x0000_t32" coordsize="21600,21600" o:spt="32" o:oned="t" path="m,l21600,21600e" filled="f">
                      <v:path arrowok="t" fillok="f" o:connecttype="none"/>
                      <o:lock v:ext="edit" shapetype="t"/>
                    </v:shapetype>
                    <v:shape id="Straight Arrow Connector 6" o:spid="_x0000_s1026" type="#_x0000_t32" style="position:absolute;margin-left:-.95pt;margin-top:10.85pt;width:41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" strokecolor="windowText" strokeweight="2.25pt">
                      <v:stroke startarrowwidth="narrow" startarrowlength="short" endarrowwidth="narrow" endarrowlength="short" opacity="64764f" linestyle="thickThin" joinstyle="miter"/>
                    </v:shape>
                  </w:pict>
                </mc:Fallback>
              </mc:AlternateContent>
            </w:r>
            <w:r w:rsidR="00895256" w:rsidRPr="00895256">
              <w:rPr>
                <w:rFonts w:ascii="Georgia" w:eastAsia="Georgia" w:hAnsi="Georgia" w:cs="Georgia"/>
                <w:b/>
                <w:color w:val="000000"/>
                <w:sz w:val="18"/>
                <w:szCs w:val="18"/>
              </w:rPr>
              <w:t>Informasi Artikel</w:t>
            </w:r>
          </w:p>
        </w:tc>
        <w:tc>
          <w:tcPr>
            <w:tcW w:w="5346" w:type="dxa"/>
          </w:tcPr>
          <w:p w14:paraId="3ACBFF9C" w14:textId="2030449C" w:rsidR="00895256" w:rsidRPr="00895256" w:rsidRDefault="00895256" w:rsidP="00895256">
            <w:pPr>
              <w:widowControl/>
              <w:shd w:val="clear" w:color="auto" w:fill="FFFFFF"/>
              <w:autoSpaceDE/>
              <w:autoSpaceDN/>
              <w:jc w:val="both"/>
              <w:rPr>
                <w:rFonts w:ascii="Georgia" w:eastAsia="Georgia" w:hAnsi="Georgia" w:cs="Georgia"/>
                <w:color w:val="24140D"/>
                <w:sz w:val="20"/>
                <w:szCs w:val="20"/>
              </w:rPr>
            </w:pPr>
            <w:r w:rsidRPr="00895256">
              <w:rPr>
                <w:rFonts w:ascii="Georgia" w:eastAsia="Georgia" w:hAnsi="Georgia" w:cs="Georgia"/>
                <w:b/>
                <w:sz w:val="18"/>
                <w:szCs w:val="18"/>
              </w:rPr>
              <w:t xml:space="preserve">Abstrak </w:t>
            </w:r>
          </w:p>
        </w:tc>
      </w:tr>
      <w:tr w:rsidR="00895256" w:rsidRPr="00895256" w14:paraId="12FC784D" w14:textId="77777777" w:rsidTr="001D07AC">
        <w:tc>
          <w:tcPr>
            <w:tcW w:w="3159" w:type="dxa"/>
          </w:tcPr>
          <w:p w14:paraId="5F9E4D63"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p>
          <w:p w14:paraId="570BC128"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Riwayat Artikel:</w:t>
            </w:r>
          </w:p>
          <w:p w14:paraId="78FDEE79"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Diusulkan: tgl-bln-thn;</w:t>
            </w:r>
          </w:p>
          <w:p w14:paraId="40B29B15"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Direvisi: tgl-bln-thn;</w:t>
            </w:r>
          </w:p>
          <w:p w14:paraId="1EF449AD"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Diterima: tgl-bln-thn;</w:t>
            </w:r>
          </w:p>
          <w:p w14:paraId="1CBB2B8C"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Diterbitkan: tgl-bln-thn;</w:t>
            </w:r>
          </w:p>
          <w:p w14:paraId="53824817"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p>
          <w:p w14:paraId="481476F7"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 xml:space="preserve">Kata kunci:  </w:t>
            </w:r>
          </w:p>
          <w:p w14:paraId="5424CF0D" w14:textId="27820E97" w:rsidR="00895256" w:rsidRPr="00895256" w:rsidRDefault="000B35CA"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24140D"/>
                <w:sz w:val="18"/>
                <w:szCs w:val="18"/>
              </w:rPr>
              <w:t>Kekerasan seksual, remaja, pencegahan, pendidikan kesehatan, sikap, pengetahuan</w:t>
            </w:r>
            <w:r w:rsidR="00895256" w:rsidRPr="00895256">
              <w:rPr>
                <w:rFonts w:ascii="Georgia" w:eastAsia="Georgia" w:hAnsi="Georgia" w:cs="Georgia"/>
                <w:color w:val="000000"/>
                <w:sz w:val="18"/>
                <w:szCs w:val="18"/>
              </w:rPr>
              <w:t xml:space="preserve"> </w:t>
            </w:r>
          </w:p>
          <w:p w14:paraId="23280017" w14:textId="77777777"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p>
          <w:p w14:paraId="50982814" w14:textId="1CBC1B01" w:rsid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Penulis Korespondensi:</w:t>
            </w:r>
          </w:p>
          <w:p w14:paraId="7764C47C" w14:textId="7A671938" w:rsidR="000B35CA" w:rsidRDefault="000B35CA" w:rsidP="00895256">
            <w:pPr>
              <w:widowControl/>
              <w:pBdr>
                <w:top w:val="nil"/>
                <w:left w:val="nil"/>
                <w:bottom w:val="nil"/>
                <w:right w:val="nil"/>
                <w:between w:val="nil"/>
              </w:pBdr>
              <w:autoSpaceDE/>
              <w:autoSpaceDN/>
              <w:rPr>
                <w:rFonts w:ascii="Georgia" w:eastAsia="Georgia" w:hAnsi="Georgia" w:cs="Georgia"/>
                <w:color w:val="000000"/>
                <w:sz w:val="18"/>
                <w:szCs w:val="18"/>
              </w:rPr>
            </w:pPr>
            <w:r>
              <w:rPr>
                <w:rFonts w:ascii="Georgia" w:eastAsia="Georgia" w:hAnsi="Georgia" w:cs="Georgia"/>
                <w:color w:val="000000"/>
                <w:sz w:val="18"/>
                <w:szCs w:val="18"/>
              </w:rPr>
              <w:t>Muhammad Al Rajab</w:t>
            </w:r>
          </w:p>
          <w:p w14:paraId="603F708E" w14:textId="6536584F" w:rsidR="000B35CA" w:rsidRPr="00895256" w:rsidRDefault="000B35CA" w:rsidP="00895256">
            <w:pPr>
              <w:widowControl/>
              <w:pBdr>
                <w:top w:val="nil"/>
                <w:left w:val="nil"/>
                <w:bottom w:val="nil"/>
                <w:right w:val="nil"/>
                <w:between w:val="nil"/>
              </w:pBdr>
              <w:autoSpaceDE/>
              <w:autoSpaceDN/>
              <w:rPr>
                <w:rFonts w:ascii="Georgia" w:eastAsia="Georgia" w:hAnsi="Georgia" w:cs="Georgia"/>
                <w:color w:val="000000"/>
                <w:sz w:val="18"/>
                <w:szCs w:val="18"/>
              </w:rPr>
            </w:pPr>
            <w:r>
              <w:rPr>
                <w:rFonts w:ascii="Georgia" w:eastAsia="Georgia" w:hAnsi="Georgia" w:cs="Georgia"/>
                <w:color w:val="000000"/>
                <w:sz w:val="18"/>
                <w:szCs w:val="18"/>
              </w:rPr>
              <w:t>Administrasi Rumah Sakit, STIKES Pelita Ibu</w:t>
            </w:r>
          </w:p>
          <w:p w14:paraId="5434C6EB" w14:textId="74AFEF82" w:rsidR="00895256" w:rsidRPr="00895256" w:rsidRDefault="00895256" w:rsidP="00895256">
            <w:pPr>
              <w:widowControl/>
              <w:pBdr>
                <w:top w:val="nil"/>
                <w:left w:val="nil"/>
                <w:bottom w:val="nil"/>
                <w:right w:val="nil"/>
                <w:between w:val="nil"/>
              </w:pBdr>
              <w:autoSpaceDE/>
              <w:autoSpaceDN/>
              <w:rPr>
                <w:rFonts w:ascii="Georgia" w:eastAsia="Georgia" w:hAnsi="Georgia" w:cs="Georgia"/>
                <w:color w:val="000000"/>
                <w:sz w:val="18"/>
                <w:szCs w:val="18"/>
              </w:rPr>
            </w:pPr>
            <w:r w:rsidRPr="00895256">
              <w:rPr>
                <w:rFonts w:ascii="Georgia" w:eastAsia="Georgia" w:hAnsi="Georgia" w:cs="Georgia"/>
                <w:color w:val="000000"/>
                <w:sz w:val="18"/>
                <w:szCs w:val="18"/>
              </w:rPr>
              <w:t xml:space="preserve">Email: </w:t>
            </w:r>
            <w:r w:rsidR="000B35CA">
              <w:rPr>
                <w:rFonts w:ascii="Georgia" w:eastAsia="Georgia" w:hAnsi="Georgia" w:cs="Georgia"/>
                <w:color w:val="000000"/>
                <w:sz w:val="18"/>
                <w:szCs w:val="18"/>
              </w:rPr>
              <w:t>alrajab.muhammad@gmail.com</w:t>
            </w:r>
            <w:r w:rsidRPr="00895256">
              <w:rPr>
                <w:rFonts w:ascii="Georgia" w:eastAsia="Georgia" w:hAnsi="Georgia" w:cs="Georgia"/>
                <w:color w:val="0070C0"/>
                <w:sz w:val="18"/>
                <w:szCs w:val="18"/>
              </w:rPr>
              <w:t xml:space="preserve"> </w:t>
            </w:r>
          </w:p>
        </w:tc>
        <w:tc>
          <w:tcPr>
            <w:tcW w:w="5346" w:type="dxa"/>
          </w:tcPr>
          <w:p w14:paraId="07C00189" w14:textId="77777777" w:rsidR="00895256" w:rsidRPr="00895256" w:rsidRDefault="00895256" w:rsidP="00895256">
            <w:pPr>
              <w:widowControl/>
              <w:shd w:val="clear" w:color="auto" w:fill="FFFFFF"/>
              <w:autoSpaceDE/>
              <w:autoSpaceDN/>
              <w:jc w:val="both"/>
              <w:rPr>
                <w:rFonts w:ascii="Georgia" w:eastAsia="Georgia" w:hAnsi="Georgia" w:cs="Georgia"/>
                <w:color w:val="24140D"/>
                <w:sz w:val="18"/>
                <w:szCs w:val="18"/>
              </w:rPr>
            </w:pPr>
            <w:r w:rsidRPr="00895256">
              <w:rPr>
                <w:rFonts w:ascii="Georgia" w:eastAsia="Georgia" w:hAnsi="Georgia" w:cs="Georgia"/>
                <w:color w:val="24140D"/>
                <w:sz w:val="18"/>
                <w:szCs w:val="18"/>
              </w:rPr>
              <w:t>Kekerasan seksual pada remaja merupakan masalah sosial yang berdampak serius terhadap kesehatan fisik dan mental korban. Remaja sebagai kelompok rentan sering kali tidak siap menghadapi kekerasan seksual, yang dapat memicu gangguan psikologis jangka panjang, seperti depresi dan trauma. Salah satu faktor utama yang meningkatkan kerentanannya adalah kurangnya pengetahuan tentang hak tubuh dan batasan pribadi, serta pengaruh sosial dan budaya yang tabu membahas seksualitas. Oleh karena itu, pencegahan kekerasan seksual membutuhkan pendidikan yang terstruktur di sekolah dan keluarga. Tujuan dari pengabdian masyarakat ini adalah meningkatkan kesadaran remaja mengenai pencegahan kekerasan seksual melalui pendidikan kesehatan di SMP 12. Metode yang digunakan meliputi ceramah, demonstrasi, dan media edukasi seperti powerpoint, brosur, dan video. Evaluasi dilakukan dengan pre-test dan post-test untuk mengukur perubahan pengetahuan dan sikap siswa. Hasilnya menunjukkan peningkatan yang signifikan, dengan nilai rata-rata pengetahuan meningkat dari 18,50 menjadi 24,80 (p=0,000), dan sikap meningkat dari 19,00 menjadi 25,90 (p=0,000). Sebanyak 80% siswa memahami hak tubuh mereka, 90% mengenali batasan pribadi, dan 76% dapat mengidentifikasi situasi berisiko kekerasan seksual. Program ini berhasil meningkatkan pengetahuan dan kesadaran siswa serta mengembangkan sikap asertif. Disarankan untuk memasang spanduk di sekolah dengan informasi terkait hak tubuh dan cara melaporkan kejadian berisiko. Program ini dapat diterapkan di sekolah lain untuk memperluas dampak positif dalam pencegahan kekerasan seksual pada remaja.</w:t>
            </w:r>
          </w:p>
          <w:p w14:paraId="6C07A847" w14:textId="77777777" w:rsidR="00895256" w:rsidRPr="00895256" w:rsidRDefault="00895256" w:rsidP="00895256">
            <w:pPr>
              <w:widowControl/>
              <w:shd w:val="clear" w:color="auto" w:fill="FFFFFF"/>
              <w:autoSpaceDE/>
              <w:autoSpaceDN/>
              <w:jc w:val="both"/>
              <w:rPr>
                <w:rFonts w:ascii="Georgia" w:eastAsia="Georgia" w:hAnsi="Georgia" w:cs="Georgia"/>
                <w:color w:val="24140D"/>
                <w:sz w:val="18"/>
                <w:szCs w:val="18"/>
              </w:rPr>
            </w:pPr>
          </w:p>
          <w:p w14:paraId="7CCF9EE1" w14:textId="43768947" w:rsidR="00895256" w:rsidRPr="00895256" w:rsidRDefault="00895256" w:rsidP="00260FCE">
            <w:pPr>
              <w:widowControl/>
              <w:shd w:val="clear" w:color="auto" w:fill="FFFFFF"/>
              <w:autoSpaceDE/>
              <w:autoSpaceDN/>
              <w:ind w:left="983" w:hanging="990"/>
              <w:jc w:val="both"/>
              <w:rPr>
                <w:rFonts w:ascii="Georgia" w:eastAsia="Georgia" w:hAnsi="Georgia" w:cs="Georgia"/>
                <w:color w:val="24140D"/>
                <w:sz w:val="18"/>
                <w:szCs w:val="18"/>
              </w:rPr>
            </w:pPr>
            <w:r w:rsidRPr="00895256">
              <w:rPr>
                <w:rFonts w:ascii="Georgia" w:eastAsia="Georgia" w:hAnsi="Georgia" w:cs="Georgia"/>
                <w:color w:val="24140D"/>
                <w:sz w:val="18"/>
                <w:szCs w:val="18"/>
              </w:rPr>
              <w:t>.</w:t>
            </w:r>
          </w:p>
          <w:p w14:paraId="440F1DF1" w14:textId="77777777" w:rsidR="00895256" w:rsidRPr="00895256" w:rsidRDefault="00895256" w:rsidP="00895256">
            <w:pPr>
              <w:widowControl/>
              <w:pBdr>
                <w:top w:val="nil"/>
                <w:left w:val="nil"/>
                <w:bottom w:val="nil"/>
                <w:right w:val="nil"/>
                <w:between w:val="nil"/>
              </w:pBdr>
              <w:autoSpaceDE/>
              <w:autoSpaceDN/>
              <w:jc w:val="both"/>
              <w:rPr>
                <w:rFonts w:ascii="Georgia" w:eastAsia="Georgia" w:hAnsi="Georgia" w:cs="Georgia"/>
                <w:color w:val="000000"/>
                <w:sz w:val="18"/>
                <w:szCs w:val="18"/>
              </w:rPr>
            </w:pPr>
          </w:p>
        </w:tc>
      </w:tr>
    </w:tbl>
    <w:p w14:paraId="7A9FDBF7" w14:textId="77777777" w:rsidR="00895256" w:rsidRPr="00895256" w:rsidRDefault="00895256" w:rsidP="00895256">
      <w:pPr>
        <w:widowControl/>
        <w:autoSpaceDE/>
        <w:autoSpaceDN/>
        <w:spacing w:line="276" w:lineRule="auto"/>
        <w:jc w:val="both"/>
        <w:rPr>
          <w:rFonts w:ascii="Georgia" w:eastAsia="Georgia" w:hAnsi="Georgia" w:cs="Georgia"/>
          <w:b/>
          <w:i/>
        </w:rPr>
      </w:pPr>
      <w:r w:rsidRPr="00895256">
        <w:rPr>
          <w:noProof/>
          <w:sz w:val="24"/>
          <w:szCs w:val="24"/>
        </w:rPr>
        <mc:AlternateContent>
          <mc:Choice Requires="wps">
            <w:drawing>
              <wp:anchor distT="0" distB="0" distL="114300" distR="114300" simplePos="0" relativeHeight="251664384" behindDoc="0" locked="0" layoutInCell="1" hidden="0" allowOverlap="1" wp14:anchorId="0AC9605C" wp14:editId="6A827193">
                <wp:simplePos x="0" y="0"/>
                <wp:positionH relativeFrom="column">
                  <wp:posOffset>1</wp:posOffset>
                </wp:positionH>
                <wp:positionV relativeFrom="paragraph">
                  <wp:posOffset>12700</wp:posOffset>
                </wp:positionV>
                <wp:extent cx="5429250" cy="28575"/>
                <wp:effectExtent l="0" t="0" r="0" b="0"/>
                <wp:wrapNone/>
                <wp:docPr id="9" name="Straight Arrow Connector 9"/>
                <wp:cNvGraphicFramePr/>
                <a:graphic xmlns:a="http://schemas.openxmlformats.org/drawingml/2006/main">
                  <a:graphicData uri="http://schemas.microsoft.com/office/word/2010/wordprocessingShape">
                    <wps:wsp>
                      <wps:cNvCnPr/>
                      <wps:spPr>
                        <a:xfrm>
                          <a:off x="2631375" y="3780000"/>
                          <a:ext cx="5429250" cy="0"/>
                        </a:xfrm>
                        <a:prstGeom prst="straightConnector1">
                          <a:avLst/>
                        </a:prstGeom>
                        <a:noFill/>
                        <a:ln w="28575" cap="flat" cmpd="sng">
                          <a:solidFill>
                            <a:sysClr val="windowText" lastClr="000000">
                              <a:alpha val="98823"/>
                            </a:sysClr>
                          </a:solidFill>
                          <a:prstDash val="solid"/>
                          <a:miter lim="800000"/>
                          <a:headEnd type="none" w="sm" len="sm"/>
                          <a:tailEnd type="none" w="sm" len="sm"/>
                        </a:ln>
                      </wps:spPr>
                      <wps:bodyPr/>
                    </wps:wsp>
                  </a:graphicData>
                </a:graphic>
              </wp:anchor>
            </w:drawing>
          </mc:Choice>
          <mc:Fallback>
            <w:pict>
              <v:shape w14:anchorId="6A55573E" id="Straight Arrow Connector 9" o:spid="_x0000_s1026" type="#_x0000_t32" style="position:absolute;margin-left:0;margin-top:1pt;width:427.5pt;height:2.2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" strokecolor="windowText" strokeweight="2.25pt">
                <v:stroke startarrowwidth="narrow" startarrowlength="short" endarrowwidth="narrow" endarrowlength="short" opacity="64764f" joinstyle="miter"/>
              </v:shape>
            </w:pict>
          </mc:Fallback>
        </mc:AlternateContent>
      </w:r>
    </w:p>
    <w:bookmarkEnd w:id="0"/>
    <w:p w14:paraId="6A93B620" w14:textId="3A4B6089" w:rsidR="003940B9" w:rsidRPr="003940B9" w:rsidRDefault="003940B9" w:rsidP="00CE10D1">
      <w:pPr>
        <w:jc w:val="both"/>
        <w:rPr>
          <w:sz w:val="20"/>
        </w:rPr>
        <w:sectPr w:rsidR="003940B9" w:rsidRPr="003940B9" w:rsidSect="007222DE">
          <w:headerReference w:type="even" r:id="rId7"/>
          <w:headerReference w:type="default" r:id="rId8"/>
          <w:footerReference w:type="even" r:id="rId9"/>
          <w:footerReference w:type="default" r:id="rId10"/>
          <w:pgSz w:w="11910" w:h="16840" w:code="9"/>
          <w:pgMar w:top="1699" w:right="1699" w:bottom="1699" w:left="1699" w:header="356" w:footer="792" w:gutter="0"/>
          <w:pgNumType w:start="1"/>
          <w:cols w:space="720"/>
        </w:sectPr>
      </w:pPr>
    </w:p>
    <w:p w14:paraId="3FBEE136" w14:textId="5AB8AC3F" w:rsidR="00CE10D1" w:rsidRPr="007222DE" w:rsidRDefault="007222DE" w:rsidP="00CE10D1">
      <w:pPr>
        <w:pStyle w:val="Heading1"/>
        <w:tabs>
          <w:tab w:val="left" w:pos="836"/>
        </w:tabs>
        <w:spacing w:before="85"/>
        <w:rPr>
          <w:rFonts w:ascii="Georgia" w:hAnsi="Georgia"/>
          <w:sz w:val="22"/>
          <w:szCs w:val="22"/>
        </w:rPr>
      </w:pPr>
      <w:r w:rsidRPr="007222DE">
        <w:rPr>
          <w:rFonts w:ascii="Georgia" w:hAnsi="Georgia"/>
          <w:spacing w:val="-2"/>
          <w:sz w:val="22"/>
          <w:szCs w:val="22"/>
        </w:rPr>
        <w:lastRenderedPageBreak/>
        <w:t>Pendahuluan</w:t>
      </w:r>
    </w:p>
    <w:p w14:paraId="2E2F159E" w14:textId="799726D5" w:rsidR="00042C4C" w:rsidRPr="007222DE" w:rsidRDefault="00042C4C" w:rsidP="00042C4C">
      <w:pPr>
        <w:pStyle w:val="BodyText"/>
        <w:ind w:left="116" w:right="116" w:firstLineChars="226" w:firstLine="497"/>
        <w:jc w:val="both"/>
        <w:rPr>
          <w:rFonts w:ascii="Georgia" w:hAnsi="Georgia"/>
          <w:sz w:val="22"/>
          <w:szCs w:val="22"/>
        </w:rPr>
      </w:pPr>
      <w:r w:rsidRPr="007222DE">
        <w:rPr>
          <w:rFonts w:ascii="Georgia" w:hAnsi="Georgia"/>
          <w:sz w:val="22"/>
          <w:szCs w:val="22"/>
        </w:rPr>
        <w:t>Kekerasan seksual merupakan masalah sosial yang signifikan dengan dampak yang serius, terutama pada remaja, kelompok yang rentan terhadap kekerasan ini. Dampak dari kekerasan seksual tidak hanya terbatas pada cedera fisik, tetapi juga mencakup gangguan mental, seperti depresi, kecemasan, dan trauma jangka panjang. Remaja yang menjadi korban sering kali mengalami stigma sosial, merasa malu, dan terisolasi, sehingga menghambat mereka untuk mencari bantuan</w:t>
      </w:r>
      <w:r w:rsidR="00855D1B" w:rsidRPr="007222DE">
        <w:rPr>
          <w:rFonts w:ascii="Georgia" w:hAnsi="Georgia"/>
          <w:sz w:val="22"/>
          <w:szCs w:val="22"/>
        </w:rPr>
        <w:t xml:space="preserve"> </w:t>
      </w:r>
      <w:r w:rsidR="00855D1B" w:rsidRPr="007222DE">
        <w:rPr>
          <w:rFonts w:ascii="Georgia" w:hAnsi="Georgia"/>
          <w:sz w:val="22"/>
          <w:szCs w:val="22"/>
        </w:rPr>
        <w:fldChar w:fldCharType="begin" w:fldLock="1"/>
      </w:r>
      <w:r w:rsidR="00855D1B" w:rsidRPr="007222DE">
        <w:rPr>
          <w:rFonts w:ascii="Georgia" w:hAnsi="Georgia"/>
          <w:sz w:val="22"/>
          <w:szCs w:val="22"/>
        </w:rPr>
        <w:instrText>ADDIN CSL_CITATION {"citationItems":[{"id":"ITEM-1","itemData":{"DOI":"https://doi.org/10.1016/B978-0-12-805389-8.00012-8","ISBN":"978-0-12-805389-8","abstract":"This chapter provides an overview of the global prevalence of sexual violence and a summary of empirically supported approaches to reduce risk of sexual violence and identifies promising directions for future research. Overall, global data indicate that sexual violence disproportionately affects women and girls. Given the gender disparities in violence and availability of existing data, much of the evidence presented in this chapter necessarily focuses on the burden of sexual violence among women and girls. The prevalence of sexual and/or physical violence varies widely across the globe with sub-Saharan Africa reporting the highest prevalence for both intimate partner and nonpartner sexual and/or physical violence against women. Women, children (particularly girls), individuals with disabilities, and sexual minority populations are at disproportionate risk of experiencing sexual violence. There has been a growth of empirical evidence on interventions to reduce risk of sexual violence in a variety of global settings. Given the geographic, age, and population-specific disparities in prevalence of sexual violence, there is no single intervention solution. Promising theoretically based approaches toward risk reduction interventions include gender-transformative interventions grounded in gender theory, empowerment theory, social-cognitive models for behavior change, resilience theory, and social norms theory. Further research is needed to address gaps in empirical data in geographical regions and populations where data are sparse. Future improvements of the empirical evidence base to advance our efforts to reduce sexual violence globally are also discussed.","author":[{"dropping-particle":"","family":"Kuo","given":"Caroline","non-dropping-particle":"","parse-names":false,"suffix":""},{"dropping-particle":"","family":"Mathews","given":"Catherine","non-dropping-particle":"","parse-names":false,"suffix":""},{"dropping-particle":"","family":"Abrahams","given":"Naeemah","non-dropping-particle":"","parse-names":false,"suffix":""}],"editor":[{"dropping-particle":"","family":"Orchowski","given":"Lindsay M","non-dropping-particle":"","parse-names":false,"suffix":""},{"dropping-particle":"","family":"Gidycz","given":"Christine A B T - Sexual Assault Risk Reduction and Resistance","non-dropping-particle":"","parse-names":false,"suffix":""}],"id":"ITEM-1","issued":{"date-parts":[["2018"]]},"page":"291-308","publisher":"Academic Press","publisher-place":"San Diego","title":"Chapter 12 - Sexual Violence As a Global Health Problem: Current Evidence and Future Directions","type":"chapter"},"uris":["http://www.mendeley.com/documents/?uuid=a8a9f096-ec21-4455-9b06-56b58c542dca"]}],"mendeley":{"formattedCitation":"(Kuo, Mathews and Abrahams, 2018)","plainTextFormattedCitation":"(Kuo, Mathews and Abrahams, 2018)","previouslyFormattedCitation":"(Kuo, Mathews and Abrahams, 2018)"},"properties":{"noteIndex":0},"schema":"https://github.com/citation-style-language/schema/raw/master/csl-citation.json"}</w:instrText>
      </w:r>
      <w:r w:rsidR="00855D1B" w:rsidRPr="007222DE">
        <w:rPr>
          <w:rFonts w:ascii="Georgia" w:hAnsi="Georgia"/>
          <w:sz w:val="22"/>
          <w:szCs w:val="22"/>
        </w:rPr>
        <w:fldChar w:fldCharType="separate"/>
      </w:r>
      <w:r w:rsidR="00855D1B" w:rsidRPr="007222DE">
        <w:rPr>
          <w:rFonts w:ascii="Georgia" w:hAnsi="Georgia"/>
          <w:noProof/>
          <w:sz w:val="22"/>
          <w:szCs w:val="22"/>
        </w:rPr>
        <w:t>(Kuo, Mathews and Abrahams, 2018)</w:t>
      </w:r>
      <w:r w:rsidR="00855D1B" w:rsidRPr="007222DE">
        <w:rPr>
          <w:rFonts w:ascii="Georgia" w:hAnsi="Georgia"/>
          <w:sz w:val="22"/>
          <w:szCs w:val="22"/>
        </w:rPr>
        <w:fldChar w:fldCharType="end"/>
      </w:r>
      <w:r w:rsidRPr="007222DE">
        <w:rPr>
          <w:rFonts w:ascii="Georgia" w:hAnsi="Georgia"/>
          <w:sz w:val="22"/>
          <w:szCs w:val="22"/>
        </w:rPr>
        <w:t>. Di Indonesia, peningkatan jumlah kasus kekerasan seksual pada remaja menunjukkan adanya kebutuhan mendesak akan langkah pencegahan dan kesadaran yang lebih efektif.</w:t>
      </w:r>
    </w:p>
    <w:p w14:paraId="2B384632" w14:textId="18517283" w:rsidR="00042C4C" w:rsidRPr="007222DE" w:rsidRDefault="00042C4C" w:rsidP="00042C4C">
      <w:pPr>
        <w:pStyle w:val="BodyText"/>
        <w:ind w:left="116" w:right="116" w:firstLineChars="226" w:firstLine="497"/>
        <w:jc w:val="both"/>
        <w:rPr>
          <w:rFonts w:ascii="Georgia" w:hAnsi="Georgia"/>
          <w:sz w:val="22"/>
          <w:szCs w:val="22"/>
        </w:rPr>
      </w:pPr>
      <w:r w:rsidRPr="007222DE">
        <w:rPr>
          <w:rFonts w:ascii="Georgia" w:hAnsi="Georgia"/>
          <w:sz w:val="22"/>
          <w:szCs w:val="22"/>
        </w:rPr>
        <w:t>Kekerasan seksual pada remaja juga menimbulkan dampak yang luas pada kesehatan mental, sosial, dan prestasi akademis mereka. Penelitian menunjukkan prevalensi kekerasan seksual pada perempuan mencapai sekitar 20%, sementara pada laki-laki sekitar 8%, terutama di negara-negara berpendapatan rendah. Data dari Komisi Perlindungan Anak Indonesia (KPAI) menyatakan bahwa sekitar 65% kasus kekerasan seksual di Indonesia terjadi pada remaja perempuan, dengan lebih dari 200 kasus dilaporkan pada tahun 2015</w:t>
      </w:r>
      <w:r w:rsidR="00855D1B" w:rsidRPr="007222DE">
        <w:rPr>
          <w:rFonts w:ascii="Georgia" w:hAnsi="Georgia"/>
          <w:sz w:val="22"/>
          <w:szCs w:val="22"/>
        </w:rPr>
        <w:fldChar w:fldCharType="begin" w:fldLock="1"/>
      </w:r>
      <w:r w:rsidR="00855D1B" w:rsidRPr="007222DE">
        <w:rPr>
          <w:rFonts w:ascii="Georgia" w:hAnsi="Georgia"/>
          <w:sz w:val="22"/>
          <w:szCs w:val="22"/>
        </w:rPr>
        <w:instrText>ADDIN CSL_CITATION {"citationItems":[{"id":"ITEM-1","itemData":{"DOI":"10.1089/jwh.2016.6161","ISSN":"1931-843X (Electronic)","PMID":"28318356","abstract":"Violence against women is a pervasive complex phenomenon that destroys women's  feelings of love, trust, and self-esteem. In this commentary, we specifically focus on sexual violence against adolescent girls, whose impact is particularly harmful since it may lead to impaired mental health, social functioning, and neurodevelopment. Between 12% and 25% of adolescent girls throughout the world experience sexual violence, very often perpetrated by a family member or a friend. Moreover, for an alarming proportion of girls, the first sexual experience is coerced. In this article, we review the multiple negative effects of sexual violence against adolescent girls. We also report data derived from our practice in a public Italian referral Centre for Sexual and Domestic Violence (SVSeD) and address the importance of a multidisciplinary clinical approach with adolescent victims of sexual violence.","author":[{"dropping-particle":"","family":"Barbara","given":"Giussy","non-dropping-particle":"","parse-names":false,"suffix":""},{"dropping-particle":"","family":"Collini","given":"Federica","non-dropping-particle":"","parse-names":false,"suffix":""},{"dropping-particle":"","family":"Cattaneo","given":"Cristina","non-dropping-particle":"","parse-names":false,"suffix":""},{"dropping-particle":"","family":"Facchin","given":"Federica","non-dropping-particle":"","parse-names":false,"suffix":""},{"dropping-particle":"","family":"Vercellini","given":"Paolo","non-dropping-particle":"","parse-names":false,"suffix":""},{"dropping-particle":"","family":"Chiappa","given":"Laura","non-dropping-particle":"","parse-names":false,"suffix":""},{"dropping-particle":"","family":"Kustermann","given":"Alessandra","non-dropping-particle":"","parse-names":false,"suffix":""}],"container-title":"Journal of women's health (2002)","id":"ITEM-1","issue":"11","issued":{"date-parts":[["2017","11"]]},"language":"eng","page":"1146-1149","publisher-place":"United States","title":"Sexual Violence Against Adolescent Girls: Labeling It to Avoid Normalization.","type":"article-journal","volume":"26"},"uris":["http://www.mendeley.com/documents/?uuid=4f15f98f-5ffd-40bc-83e5-37273915d13f"]}],"mendeley":{"formattedCitation":"(Barbara &lt;i&gt;et al.&lt;/i&gt;, 2017)","plainTextFormattedCitation":"(Barbara et al., 2017)","previouslyFormattedCitation":"(Barbara &lt;i&gt;et al.&lt;/i&gt;, 2017)"},"properties":{"noteIndex":0},"schema":"https://github.com/citation-style-language/schema/raw/master/csl-citation.json"}</w:instrText>
      </w:r>
      <w:r w:rsidR="00855D1B" w:rsidRPr="007222DE">
        <w:rPr>
          <w:rFonts w:ascii="Georgia" w:hAnsi="Georgia"/>
          <w:sz w:val="22"/>
          <w:szCs w:val="22"/>
        </w:rPr>
        <w:fldChar w:fldCharType="separate"/>
      </w:r>
      <w:r w:rsidR="00855D1B" w:rsidRPr="007222DE">
        <w:rPr>
          <w:rFonts w:ascii="Georgia" w:hAnsi="Georgia"/>
          <w:noProof/>
          <w:sz w:val="22"/>
          <w:szCs w:val="22"/>
        </w:rPr>
        <w:t xml:space="preserve">(Barbara </w:t>
      </w:r>
      <w:r w:rsidR="00855D1B" w:rsidRPr="007222DE">
        <w:rPr>
          <w:rFonts w:ascii="Georgia" w:hAnsi="Georgia"/>
          <w:i/>
          <w:noProof/>
          <w:sz w:val="22"/>
          <w:szCs w:val="22"/>
        </w:rPr>
        <w:t>et al.</w:t>
      </w:r>
      <w:r w:rsidR="00855D1B" w:rsidRPr="007222DE">
        <w:rPr>
          <w:rFonts w:ascii="Georgia" w:hAnsi="Georgia"/>
          <w:noProof/>
          <w:sz w:val="22"/>
          <w:szCs w:val="22"/>
        </w:rPr>
        <w:t>, 2017)</w:t>
      </w:r>
      <w:r w:rsidR="00855D1B" w:rsidRPr="007222DE">
        <w:rPr>
          <w:rFonts w:ascii="Georgia" w:hAnsi="Georgia"/>
          <w:sz w:val="22"/>
          <w:szCs w:val="22"/>
        </w:rPr>
        <w:fldChar w:fldCharType="end"/>
      </w:r>
      <w:r w:rsidRPr="007222DE">
        <w:rPr>
          <w:rFonts w:ascii="Georgia" w:hAnsi="Georgia"/>
          <w:sz w:val="22"/>
          <w:szCs w:val="22"/>
        </w:rPr>
        <w:t>. Kekerasan seksual tidak hanya berdampak pada korban, tetapi juga pada keluarga dan masyarakat sekitar.</w:t>
      </w:r>
      <w:r w:rsidRPr="007222DE">
        <w:rPr>
          <w:rFonts w:ascii="Georgia" w:hAnsi="Georgia"/>
          <w:sz w:val="22"/>
          <w:szCs w:val="22"/>
        </w:rPr>
        <w:t xml:space="preserve"> </w:t>
      </w:r>
      <w:r w:rsidRPr="007222DE">
        <w:rPr>
          <w:rFonts w:ascii="Georgia" w:hAnsi="Georgia"/>
          <w:sz w:val="22"/>
          <w:szCs w:val="22"/>
        </w:rPr>
        <w:t>Faktor utama yang menyebabkan kerentanan remaja terhadap kekerasan seksual adalah kurangnya pengetahuan tentang hak tubuh dan batasan pribadi. Remaja sering kali tidak mengetahui bahwa mereka memiliki hak untuk menolak perlakuan yang tidak nyaman, baik dari orang terdekat maupun orang asing. Selain itu, pengaruh media dan lingkungan yang permisif terhadap kekerasan seksual memperburuk situasi ini, membuat mereka kurang siap dalam mengenali atau menghindari situasi berisiko</w:t>
      </w:r>
      <w:r w:rsidR="00855D1B" w:rsidRPr="007222DE">
        <w:rPr>
          <w:rFonts w:ascii="Georgia" w:hAnsi="Georgia"/>
          <w:sz w:val="22"/>
          <w:szCs w:val="22"/>
        </w:rPr>
        <w:t xml:space="preserve"> </w:t>
      </w:r>
      <w:r w:rsidR="00855D1B" w:rsidRPr="007222DE">
        <w:rPr>
          <w:rFonts w:ascii="Georgia" w:hAnsi="Georgia"/>
          <w:sz w:val="22"/>
          <w:szCs w:val="22"/>
        </w:rPr>
        <w:fldChar w:fldCharType="begin" w:fldLock="1"/>
      </w:r>
      <w:r w:rsidR="00855D1B" w:rsidRPr="007222DE">
        <w:rPr>
          <w:rFonts w:ascii="Georgia" w:hAnsi="Georgia"/>
          <w:sz w:val="22"/>
          <w:szCs w:val="22"/>
        </w:rPr>
        <w:instrText>ADDIN CSL_CITATION {"citationItems":[{"id":"ITEM-1","itemData":{"DOI":"10.1177/15291006231221978","ISSN":"1529-1006","abstract":"What solutions can we find in the research literature for preventing sexual violence, and what psychological theories have guided these efforts? We gather all primary prevention efforts to reduce sexual violence from 1985 to 2018 and provide a bird?s-eye view of the literature. We first review predominant theoretical approaches to sexual-violence perpetration prevention by highlighting three interventions that exemplify the zeitgeist of primary prevention efforts at various points during this time period. We find a throughline in primary prevention interventions: They aim to change attitudes, beliefs, and knowledge (i.e., ideas) to reduce sexual-violence perpetration and victimization. Our meta-analysis of these studies tests the efficacy of this approach directly and finds that although many interventions are successful at changing ideas, behavior change does not follow. There is little to no relationship between changing attitudes, beliefs, and knowledge and reducing victimization or perpetration. We also observe trends over time, including a shift from targeting a reduction in perpetration to targeting an increase in bystander intervention. We conclude by highlighting promising new strategies for measuring victimization and perpetration and calling for interventions that are informed by theories of behavior change and that center sexually violent behavior as the key outcome of interest.","author":[{"dropping-particle":"","family":"Porat","given":"Roni","non-dropping-particle":"","parse-names":false,"suffix":""},{"dropping-particle":"","family":"Gantman","given":"Ana","non-dropping-particle":"","parse-names":false,"suffix":""},{"dropping-particle":"","family":"Green","given":"Seth A","non-dropping-particle":"","parse-names":false,"suffix":""},{"dropping-particle":"","family":"Pezzuto","given":"John-Henry","non-dropping-particle":"","parse-names":false,"suffix":""},{"dropping-particle":"","family":"Paluck","given":"Elizabeth Levy","non-dropping-particle":"","parse-names":false,"suffix":""}],"container-title":"Psychological Science in the Public Interest","id":"ITEM-1","issue":"1","issued":{"date-parts":[["2024","5","1"]]},"note":"doi: 10.1177/15291006231221978","page":"4-29","publisher":"SAGE Publications Inc","title":"Preventing Sexual Violence: A Behavioral Problem Without a Behaviorally Informed Solution","type":"article-journal","volume":"25"},"uris":["http://www.mendeley.com/documents/?uuid=60b07187-2114-4fb7-9a2d-969a9edb6975"]}],"mendeley":{"formattedCitation":"(Porat &lt;i&gt;et al.&lt;/i&gt;, 2024)","plainTextFormattedCitation":"(Porat et al., 2024)","previouslyFormattedCitation":"(Porat &lt;i&gt;et al.&lt;/i&gt;, 2024)"},"properties":{"noteIndex":0},"schema":"https://github.com/citation-style-language/schema/raw/master/csl-citation.json"}</w:instrText>
      </w:r>
      <w:r w:rsidR="00855D1B" w:rsidRPr="007222DE">
        <w:rPr>
          <w:rFonts w:ascii="Georgia" w:hAnsi="Georgia"/>
          <w:sz w:val="22"/>
          <w:szCs w:val="22"/>
        </w:rPr>
        <w:fldChar w:fldCharType="separate"/>
      </w:r>
      <w:r w:rsidR="00855D1B" w:rsidRPr="007222DE">
        <w:rPr>
          <w:rFonts w:ascii="Georgia" w:hAnsi="Georgia"/>
          <w:noProof/>
          <w:sz w:val="22"/>
          <w:szCs w:val="22"/>
        </w:rPr>
        <w:t xml:space="preserve">(Porat </w:t>
      </w:r>
      <w:r w:rsidR="00855D1B" w:rsidRPr="007222DE">
        <w:rPr>
          <w:rFonts w:ascii="Georgia" w:hAnsi="Georgia"/>
          <w:i/>
          <w:noProof/>
          <w:sz w:val="22"/>
          <w:szCs w:val="22"/>
        </w:rPr>
        <w:t>et al.</w:t>
      </w:r>
      <w:r w:rsidR="00855D1B" w:rsidRPr="007222DE">
        <w:rPr>
          <w:rFonts w:ascii="Georgia" w:hAnsi="Georgia"/>
          <w:noProof/>
          <w:sz w:val="22"/>
          <w:szCs w:val="22"/>
        </w:rPr>
        <w:t>, 2024)</w:t>
      </w:r>
      <w:r w:rsidR="00855D1B" w:rsidRPr="007222DE">
        <w:rPr>
          <w:rFonts w:ascii="Georgia" w:hAnsi="Georgia"/>
          <w:sz w:val="22"/>
          <w:szCs w:val="22"/>
        </w:rPr>
        <w:fldChar w:fldCharType="end"/>
      </w:r>
      <w:r w:rsidRPr="007222DE">
        <w:rPr>
          <w:rFonts w:ascii="Georgia" w:hAnsi="Georgia"/>
          <w:sz w:val="22"/>
          <w:szCs w:val="22"/>
        </w:rPr>
        <w:t>.</w:t>
      </w:r>
    </w:p>
    <w:p w14:paraId="3570CE15" w14:textId="21C6C045" w:rsidR="00042C4C" w:rsidRPr="007222DE" w:rsidRDefault="00042C4C" w:rsidP="00042C4C">
      <w:pPr>
        <w:pStyle w:val="BodyText"/>
        <w:ind w:left="116" w:right="116" w:firstLineChars="226" w:firstLine="497"/>
        <w:jc w:val="both"/>
        <w:rPr>
          <w:rFonts w:ascii="Georgia" w:hAnsi="Georgia"/>
          <w:sz w:val="22"/>
          <w:szCs w:val="22"/>
        </w:rPr>
      </w:pPr>
      <w:r w:rsidRPr="007222DE">
        <w:rPr>
          <w:rFonts w:ascii="Georgia" w:hAnsi="Georgia"/>
          <w:sz w:val="22"/>
          <w:szCs w:val="22"/>
        </w:rPr>
        <w:t>Minimnya informasi ini diperburuk dengan rendahnya literasi seksual yang disampaikan di sekolah dan kurangnya pendidikan tentang seksualitas di keluarga. Di Indonesia, topik seksualitas masih sering dianggap tabu, baik di sekolah maupun di rumah, sehingga remaja kurang memiliki pengetahuan dasar yang diperlukan untuk melindungi diri dan memahami hak-hak mereka. Banyak remaja yang mengalami kekerasan seksual memilih untuk tidak melaporkan atau mencari bantuan karena merasa malu, yang memperparah dampak psikologis yang mereka alami.</w:t>
      </w:r>
      <w:r w:rsidRPr="007222DE">
        <w:rPr>
          <w:rFonts w:ascii="Georgia" w:hAnsi="Georgia"/>
          <w:sz w:val="22"/>
          <w:szCs w:val="22"/>
        </w:rPr>
        <w:t xml:space="preserve"> </w:t>
      </w:r>
      <w:r w:rsidRPr="007222DE">
        <w:rPr>
          <w:rFonts w:ascii="Georgia" w:hAnsi="Georgia"/>
          <w:sz w:val="22"/>
          <w:szCs w:val="22"/>
        </w:rPr>
        <w:t>Perkembangan teknologi informasi turut menjadi tantangan baru dalam upaya pencegahan kekerasan seksual</w:t>
      </w:r>
      <w:r w:rsidR="00125BE5" w:rsidRPr="007222DE">
        <w:rPr>
          <w:rFonts w:ascii="Georgia" w:hAnsi="Georgia"/>
          <w:sz w:val="22"/>
          <w:szCs w:val="22"/>
        </w:rPr>
        <w:t xml:space="preserve"> </w:t>
      </w:r>
      <w:r w:rsidR="00125BE5" w:rsidRPr="007222DE">
        <w:rPr>
          <w:rFonts w:ascii="Georgia" w:hAnsi="Georgia"/>
          <w:sz w:val="22"/>
          <w:szCs w:val="22"/>
        </w:rPr>
        <w:fldChar w:fldCharType="begin" w:fldLock="1"/>
      </w:r>
      <w:r w:rsidR="00125BE5" w:rsidRPr="007222DE">
        <w:rPr>
          <w:rFonts w:ascii="Georgia" w:hAnsi="Georgia"/>
          <w:sz w:val="22"/>
          <w:szCs w:val="22"/>
        </w:rPr>
        <w:instrText>ADDIN CSL_CITATION {"citationItems":[{"id":"ITEM-1","itemData":{"DOI":"10.1080/16549716.2023.2279841","ISSN":"1654-9716","author":[{"dropping-particle":"","family":"Amanu","given":"Adamu","non-dropping-particle":"","parse-names":false,"suffix":""},{"dropping-particle":"","family":"Birhanu","given":"Zewdie","non-dropping-particle":"","parse-names":false,"suffix":""},{"dropping-particle":"","family":"Godesso","given":"Ameyu","non-dropping-particle":"","parse-names":false,"suffix":""}],"container-title":"Global Health Action","id":"ITEM-1","issue":"1","issued":{"date-parts":[["2023","12","31"]]},"note":"doi: 10.1080/16549716.2023.2279841","page":"2279841","publisher":"Taylor &amp; Francis","title":"Sexual and reproductive health literacy among young people in Sub-Saharan Africa: evidence synthesis and implications","type":"article-journal","volume":"16"},"uris":["http://www.mendeley.com/documents/?uuid=22df5333-9ee8-49fe-aa8b-77690a496d11"]}],"mendeley":{"formattedCitation":"(Amanu, Birhanu and Godesso, 2023)","plainTextFormattedCitation":"(Amanu, Birhanu and Godesso, 2023)"},"properties":{"noteIndex":0},"schema":"https://github.com/citation-style-language/schema/raw/master/csl-citation.json"}</w:instrText>
      </w:r>
      <w:r w:rsidR="00125BE5" w:rsidRPr="007222DE">
        <w:rPr>
          <w:rFonts w:ascii="Georgia" w:hAnsi="Georgia"/>
          <w:sz w:val="22"/>
          <w:szCs w:val="22"/>
        </w:rPr>
        <w:fldChar w:fldCharType="separate"/>
      </w:r>
      <w:r w:rsidR="00125BE5" w:rsidRPr="007222DE">
        <w:rPr>
          <w:rFonts w:ascii="Georgia" w:hAnsi="Georgia"/>
          <w:noProof/>
          <w:sz w:val="22"/>
          <w:szCs w:val="22"/>
        </w:rPr>
        <w:t>(Amanu, Birhanu and Godesso, 2023)</w:t>
      </w:r>
      <w:r w:rsidR="00125BE5" w:rsidRPr="007222DE">
        <w:rPr>
          <w:rFonts w:ascii="Georgia" w:hAnsi="Georgia"/>
          <w:sz w:val="22"/>
          <w:szCs w:val="22"/>
        </w:rPr>
        <w:fldChar w:fldCharType="end"/>
      </w:r>
      <w:r w:rsidRPr="007222DE">
        <w:rPr>
          <w:rFonts w:ascii="Georgia" w:hAnsi="Georgia"/>
          <w:sz w:val="22"/>
          <w:szCs w:val="22"/>
        </w:rPr>
        <w:t>. Di era digital ini, media sosial merupakan platform komunikasi utama bagi remaja. Walaupun media sosial dapat menjadi sarana edukasi, ia juga berpotensi menjadi tempat terjadinya kekerasan seksual, seperti pelecehan online, perundungan, dan eksploitasi seksual. Bentuk kekerasan ini termasuk penyebaran gambar atau pesan seksual tanpa izin, menekankan pentingnya literasi digital dan pemahaman tentang keamanan pribadi di dunia maya</w:t>
      </w:r>
      <w:r w:rsidR="00855D1B" w:rsidRPr="007222DE">
        <w:rPr>
          <w:rFonts w:ascii="Georgia" w:hAnsi="Georgia"/>
          <w:sz w:val="22"/>
          <w:szCs w:val="22"/>
        </w:rPr>
        <w:t xml:space="preserve"> </w:t>
      </w:r>
      <w:r w:rsidR="00855D1B" w:rsidRPr="007222DE">
        <w:rPr>
          <w:rFonts w:ascii="Georgia" w:hAnsi="Georgia"/>
          <w:sz w:val="22"/>
          <w:szCs w:val="22"/>
        </w:rPr>
        <w:fldChar w:fldCharType="begin" w:fldLock="1"/>
      </w:r>
      <w:r w:rsidR="00855D1B" w:rsidRPr="007222DE">
        <w:rPr>
          <w:rFonts w:ascii="Georgia" w:hAnsi="Georgia"/>
          <w:sz w:val="22"/>
          <w:szCs w:val="22"/>
        </w:rPr>
        <w:instrText>ADDIN CSL_CITATION {"citationItems":[{"id":"ITEM-1","itemData":{"DOI":"10.1007/s10389-021-01565-3","ISSN":"2198-1833 (Print)","PMID":"33968601","abstract":"AIM: The coronavirus disease 2019 (COVID-19) has caused hundreds of thousands of  deaths, impacted the flow of life and resulted in an immeasurable amount of socio-economic damage. However, not all of this damage is attributable to the disease itself; much of it has occurred due to the prevailing misinformation around COVID-19. This rapid integrative review will draw on knowledge from the literature about misinformation during previous abrupt large-scale infectious disease outbreaks to enable policymakers, governments and health institutions to proactively mitigate the spread and effect of misinformation. SUBJECT AND METHODS: For this rapid integrative review, we systematically searched MEDLINE and Google Scholar and extracted the literature on misinformation during abrupt large-scale infectious disease outbreaks since 2000. We screened articles using predetermined inclusion criteria. We followed an updated methodology for integrated reviews and adjusted it for our rapid review approach. RESULTS: We found widespread misinformation in all aspects of large-scale infectious disease outbreaks since 2000, including prevention, treatment, risk factor, transmission mode, complications and vaccines. Conspiracy theories also prevailed, particularly involving vaccines. Misinformation most frequently has been reported regarding Ebola, and women and youth are particularly vulnerable to misinformation. A lack of scientific knowledge by individuals and a lack of trust in the government increased the consumption of misinformation, which is disseminated quickly by the unregulated media, particularly social media. CONCLUSION: This review identified the nature and pattern of misinformation during large-scale infectious disease outbreaks, which could potentially be used to address misinformation during the ongoing COVID-19 or any future pandemic.","author":[{"dropping-particle":"","family":"Chowdhury","given":"Nashit","non-dropping-particle":"","parse-names":false,"suffix":""},{"dropping-particle":"","family":"Khalid","given":"Ayisha","non-dropping-particle":"","parse-names":false,"suffix":""},{"dropping-particle":"","family":"Turin","given":"Tanvir C","non-dropping-particle":"","parse-names":false,"suffix":""}],"container-title":"Zeitschrift fur Gesundheitswissenschaften = Journal of public health","id":"ITEM-1","issue":"4","issued":{"date-parts":[["2023"]]},"language":"eng","page":"553-573","publisher-place":"Germany","title":"Understanding misinformation infodemic during public health emergencies due to  large-scale disease outbreaks: a rapid review.","type":"article-journal","volume":"31"},"uris":["http://www.mendeley.com/documents/?uuid=03aaa7f1-31d6-4e20-aef0-f09d0e6f0aa1"]}],"mendeley":{"formattedCitation":"(Chowdhury, Khalid and Turin, 2023)","plainTextFormattedCitation":"(Chowdhury, Khalid and Turin, 2023)","previouslyFormattedCitation":"(Chowdhury, Khalid and Turin, 2023)"},"properties":{"noteIndex":0},"schema":"https://github.com/citation-style-language/schema/raw/master/csl-citation.json"}</w:instrText>
      </w:r>
      <w:r w:rsidR="00855D1B" w:rsidRPr="007222DE">
        <w:rPr>
          <w:rFonts w:ascii="Georgia" w:hAnsi="Georgia"/>
          <w:sz w:val="22"/>
          <w:szCs w:val="22"/>
        </w:rPr>
        <w:fldChar w:fldCharType="separate"/>
      </w:r>
      <w:r w:rsidR="00855D1B" w:rsidRPr="007222DE">
        <w:rPr>
          <w:rFonts w:ascii="Georgia" w:hAnsi="Georgia"/>
          <w:noProof/>
          <w:sz w:val="22"/>
          <w:szCs w:val="22"/>
        </w:rPr>
        <w:t>(Chowdhury, Khalid and Turin, 2023)</w:t>
      </w:r>
      <w:r w:rsidR="00855D1B" w:rsidRPr="007222DE">
        <w:rPr>
          <w:rFonts w:ascii="Georgia" w:hAnsi="Georgia"/>
          <w:sz w:val="22"/>
          <w:szCs w:val="22"/>
        </w:rPr>
        <w:fldChar w:fldCharType="end"/>
      </w:r>
      <w:r w:rsidRPr="007222DE">
        <w:rPr>
          <w:rFonts w:ascii="Georgia" w:hAnsi="Georgia"/>
          <w:sz w:val="22"/>
          <w:szCs w:val="22"/>
        </w:rPr>
        <w:t>.</w:t>
      </w:r>
    </w:p>
    <w:p w14:paraId="357D6E2C" w14:textId="69497B87" w:rsidR="00042C4C" w:rsidRPr="007222DE" w:rsidRDefault="00042C4C" w:rsidP="00042C4C">
      <w:pPr>
        <w:pStyle w:val="BodyText"/>
        <w:ind w:left="116" w:right="116" w:firstLineChars="226" w:firstLine="497"/>
        <w:jc w:val="both"/>
        <w:rPr>
          <w:rFonts w:ascii="Georgia" w:hAnsi="Georgia"/>
          <w:sz w:val="22"/>
          <w:szCs w:val="22"/>
        </w:rPr>
      </w:pPr>
      <w:r w:rsidRPr="007222DE">
        <w:rPr>
          <w:rFonts w:ascii="Georgia" w:hAnsi="Georgia"/>
          <w:sz w:val="22"/>
          <w:szCs w:val="22"/>
        </w:rPr>
        <w:t>Sebagai langkah preventif, perlu ada program pendidikan yang khusus membahas pencegahan kekerasan seksual pada remaja. Materi pendidikan ini harus mencakup pemahaman hak tubuh, batasan pribadi, serta keterampilan mengenali dan menghindari situasi berisiko. Integrasi pendidikan ini dalam kurikulum sekolah sangat penting, disertai pelatihan bagi guru agar mampu mendukung siswa secara efektif dalam menghadapi isu ini.</w:t>
      </w:r>
      <w:r w:rsidRPr="007222DE">
        <w:rPr>
          <w:rFonts w:ascii="Georgia" w:hAnsi="Georgia"/>
          <w:sz w:val="22"/>
          <w:szCs w:val="22"/>
        </w:rPr>
        <w:t xml:space="preserve"> </w:t>
      </w:r>
      <w:r w:rsidRPr="007222DE">
        <w:rPr>
          <w:rFonts w:ascii="Georgia" w:hAnsi="Georgia"/>
          <w:sz w:val="22"/>
          <w:szCs w:val="22"/>
        </w:rPr>
        <w:t xml:space="preserve">Selain sekolah, keluarga juga memiliki peran penting dalam melindungi remaja dari kekerasan seksual. Orang tua perlu diajari cara berbicara terbuka dengan anak-anak mereka mengenai topik sensitif ini, sehingga anak merasa nyaman untuk berbagi pengalaman atau meminta bantuan bila diperlukan. </w:t>
      </w:r>
      <w:r w:rsidRPr="007222DE">
        <w:rPr>
          <w:rFonts w:ascii="Georgia" w:hAnsi="Georgia"/>
          <w:sz w:val="22"/>
          <w:szCs w:val="22"/>
        </w:rPr>
        <w:lastRenderedPageBreak/>
        <w:t>Orang tua juga diharapkan untuk terlibat dalam memantau aktivitas daring anak-anak mereka guna menghindari ancaman kekerasan seksual di ruang digital</w:t>
      </w:r>
      <w:r w:rsidR="00855D1B" w:rsidRPr="007222DE">
        <w:rPr>
          <w:rFonts w:ascii="Georgia" w:hAnsi="Georgia"/>
          <w:sz w:val="22"/>
          <w:szCs w:val="22"/>
        </w:rPr>
        <w:t xml:space="preserve"> </w:t>
      </w:r>
      <w:r w:rsidR="00855D1B" w:rsidRPr="007222DE">
        <w:rPr>
          <w:rFonts w:ascii="Georgia" w:hAnsi="Georgia"/>
          <w:sz w:val="22"/>
          <w:szCs w:val="22"/>
        </w:rPr>
        <w:fldChar w:fldCharType="begin" w:fldLock="1"/>
      </w:r>
      <w:r w:rsidR="00855D1B" w:rsidRPr="007222DE">
        <w:rPr>
          <w:rFonts w:ascii="Georgia" w:hAnsi="Georgia"/>
          <w:sz w:val="22"/>
          <w:szCs w:val="22"/>
        </w:rPr>
        <w:instrText>ADDIN CSL_CITATION {"citationItems":[{"id":"ITEM-1","itemData":{"DOI":"10.1177/1524838018772855","ISSN":"1552-8324 (Electronic)","PMID":"29720047","abstract":"Sexual violence (SV) represents a serious public health problem with high rates  and numerous health consequences. Current primary prevention strategies to reduce SV perpetration have been shown to be largely ineffective-not surprisingly, since as others have pointed out current prevention largely fails to draw on existing knowledge about the characteristics of effective prevention. In this article, we examine the potential of K-12 comprehensive sexuality education (CSE), guided by the National Sexuality Education Standards (NSES), to be an effective strategy. Our discussion uses socioecological and feminist theories as a guide, examines the extent to which NSES-guided CSE could both meet the qualities of effective prevention programs and mitigate the risk factors that are most implicated in perpetration behavior, and considers the potential limitations of this approach. We suggest that sequential, K-12 program has potential to prevent the emergence of risk factors associated with SV perpetration by starting prevention early on in the life course. CSE has not yet been evaluated with SV perpetration behavior as an outcome, and this article synthesizes what is known about drivers of SV perpetration and the potential impacts of CSE to argue for the importance of future research in this area. The primary recommendation is for longitudinal research to examine the impact of CSE on SV perpetration as well as on other sexual and reproductive health outcomes.","author":[{"dropping-particle":"","family":"Schneider","given":"Madeline","non-dropping-particle":"","parse-names":false,"suffix":""},{"dropping-particle":"","family":"Hirsch","given":"Jennifer S","non-dropping-particle":"","parse-names":false,"suffix":""}],"container-title":"Trauma, violence &amp; abuse","id":"ITEM-1","issue":"3","issued":{"date-parts":[["2020","7"]]},"language":"eng","page":"439-455","publisher-place":"United States","title":"Comprehensive Sexuality Education as a Primary Prevention Strategy for Sexual  Violence Perpetration.","type":"article-journal","volume":"21"},"uris":["http://www.mendeley.com/documents/?uuid=8e42d6aa-a264-4c6f-a4d0-2e46e4714aba"]}],"mendeley":{"formattedCitation":"(Schneider and Hirsch, 2020)","plainTextFormattedCitation":"(Schneider and Hirsch, 2020)","previouslyFormattedCitation":"(Schneider and Hirsch, 2020)"},"properties":{"noteIndex":0},"schema":"https://github.com/citation-style-language/schema/raw/master/csl-citation.json"}</w:instrText>
      </w:r>
      <w:r w:rsidR="00855D1B" w:rsidRPr="007222DE">
        <w:rPr>
          <w:rFonts w:ascii="Georgia" w:hAnsi="Georgia"/>
          <w:sz w:val="22"/>
          <w:szCs w:val="22"/>
        </w:rPr>
        <w:fldChar w:fldCharType="separate"/>
      </w:r>
      <w:r w:rsidR="00855D1B" w:rsidRPr="007222DE">
        <w:rPr>
          <w:rFonts w:ascii="Georgia" w:hAnsi="Georgia"/>
          <w:noProof/>
          <w:sz w:val="22"/>
          <w:szCs w:val="22"/>
        </w:rPr>
        <w:t>(Schneider and Hirsch, 2020)</w:t>
      </w:r>
      <w:r w:rsidR="00855D1B" w:rsidRPr="007222DE">
        <w:rPr>
          <w:rFonts w:ascii="Georgia" w:hAnsi="Georgia"/>
          <w:sz w:val="22"/>
          <w:szCs w:val="22"/>
        </w:rPr>
        <w:fldChar w:fldCharType="end"/>
      </w:r>
      <w:r w:rsidRPr="007222DE">
        <w:rPr>
          <w:rFonts w:ascii="Georgia" w:hAnsi="Georgia"/>
          <w:sz w:val="22"/>
          <w:szCs w:val="22"/>
        </w:rPr>
        <w:t>.</w:t>
      </w:r>
    </w:p>
    <w:p w14:paraId="44B295DB" w14:textId="2F6059EE" w:rsidR="00042C4C" w:rsidRPr="007222DE" w:rsidRDefault="00042C4C" w:rsidP="00042C4C">
      <w:pPr>
        <w:pStyle w:val="BodyText"/>
        <w:ind w:left="116" w:right="116" w:firstLineChars="226" w:firstLine="497"/>
        <w:jc w:val="both"/>
        <w:rPr>
          <w:rFonts w:ascii="Georgia" w:hAnsi="Georgia"/>
          <w:sz w:val="22"/>
          <w:szCs w:val="22"/>
        </w:rPr>
      </w:pPr>
      <w:r w:rsidRPr="007222DE">
        <w:rPr>
          <w:rFonts w:ascii="Georgia" w:hAnsi="Georgia"/>
          <w:sz w:val="22"/>
          <w:szCs w:val="22"/>
        </w:rPr>
        <w:t>Dukungan dari masyarakat dan pemerintah sangat dibutuhkan untuk mencegah kekerasan seksual pada remaja. Kampanye sosial yang melibatkan komunitas dapat membantu meningkatkan kesadaran akan pentingnya melindungi remaja. Pemerintah juga berperan dalam menyediakan layanan dukungan dan sistem pelaporan yang ramah remaja, dengan perlindungan hukum yang kuat agar remaja merasa aman melaporkan kekerasan yang dialaminya.</w:t>
      </w:r>
      <w:r w:rsidRPr="007222DE">
        <w:rPr>
          <w:rFonts w:ascii="Georgia" w:hAnsi="Georgia"/>
          <w:sz w:val="22"/>
          <w:szCs w:val="22"/>
        </w:rPr>
        <w:t xml:space="preserve"> </w:t>
      </w:r>
      <w:r w:rsidRPr="007222DE">
        <w:rPr>
          <w:rFonts w:ascii="Georgia" w:hAnsi="Georgia"/>
          <w:sz w:val="22"/>
          <w:szCs w:val="22"/>
        </w:rPr>
        <w:t>Dengan pendekatan komprehensif melalui pendidikan di sekolah, dukungan keluarga, serta keterlibatan masyarakat dan pemerintah, diharapkan kesadaran akan pencegahan kekerasan seksual pada remaja dapat meningkat</w:t>
      </w:r>
      <w:r w:rsidR="00855D1B" w:rsidRPr="007222DE">
        <w:rPr>
          <w:rFonts w:ascii="Georgia" w:hAnsi="Georgia"/>
          <w:sz w:val="22"/>
          <w:szCs w:val="22"/>
        </w:rPr>
        <w:t xml:space="preserve"> </w:t>
      </w:r>
      <w:r w:rsidR="00855D1B" w:rsidRPr="007222DE">
        <w:rPr>
          <w:rFonts w:ascii="Georgia" w:hAnsi="Georgia"/>
          <w:sz w:val="22"/>
          <w:szCs w:val="22"/>
        </w:rPr>
        <w:fldChar w:fldCharType="begin" w:fldLock="1"/>
      </w:r>
      <w:r w:rsidR="004951AF" w:rsidRPr="007222DE">
        <w:rPr>
          <w:rFonts w:ascii="Georgia" w:hAnsi="Georgia"/>
          <w:sz w:val="22"/>
          <w:szCs w:val="22"/>
        </w:rPr>
        <w:instrText>ADDIN CSL_CITATION {"citationItems":[{"id":"ITEM-1","itemData":{"DOI":"10.1001/jamanetworkopen.2022.40895","ISSN":"2574-3805","abstract":"Sexual violence is a public health problem that affects adolescents globally. To our knowledge, no meta-analysis of prevention programs for adolescent sexual violence has been conducted.To perform a systematic review and meta-analysis of randomized clinical trials evaluating the efficacy of psychosocial programs for preventing sexual violence during adolescence.Peer-reviewed articles published in English were searched in PsycINFO, ERIC, PsycArticles, PubMed, and Web of Science databases through December 2021.Studies were included if they were randomized clinical trials assessing the efficacy of a psychosocial prevention program targeting sexual violence and delivered to adolescents aged 10 to 19 years.Preferred Reporting Items for Systematic Reviews and Meta-analysis (PRISMA) guidelines were followed to identify studies. The quality of individual studies was assessed with the Revised Cochrane Collaboration Risk of Bias tool. A random-effects model was used to pool odds ratios (ORs). Exploratory subgroup and metaregression analyses were performed to evaluate the associations between moderators and effect sizes.Primary outcomes were perpetration of sexual violence, experience of sexual violence, and a composite measure of any perpetration or experience of sexual violence.Data were analyzed from 20 trials involving 37</w:instrText>
      </w:r>
      <w:r w:rsidR="004951AF" w:rsidRPr="007222DE">
        <w:rPr>
          <w:sz w:val="22"/>
          <w:szCs w:val="22"/>
        </w:rPr>
        <w:instrText> </w:instrText>
      </w:r>
      <w:r w:rsidR="004951AF" w:rsidRPr="007222DE">
        <w:rPr>
          <w:rFonts w:ascii="Georgia" w:hAnsi="Georgia"/>
          <w:sz w:val="22"/>
          <w:szCs w:val="22"/>
        </w:rPr>
        <w:instrText>294 adolescents. Compared with control conditions, prevention programs were associated with a significant reduction in the perpetration (OR, 0.83; 95% CI, 0.73-0.95; P</w:instrText>
      </w:r>
      <w:r w:rsidR="004951AF" w:rsidRPr="007222DE">
        <w:rPr>
          <w:sz w:val="22"/>
          <w:szCs w:val="22"/>
        </w:rPr>
        <w:instrText> </w:instrText>
      </w:r>
      <w:r w:rsidR="004951AF" w:rsidRPr="007222DE">
        <w:rPr>
          <w:rFonts w:ascii="Georgia" w:hAnsi="Georgia"/>
          <w:sz w:val="22"/>
          <w:szCs w:val="22"/>
        </w:rPr>
        <w:instrText>=</w:instrText>
      </w:r>
      <w:r w:rsidR="004951AF" w:rsidRPr="007222DE">
        <w:rPr>
          <w:sz w:val="22"/>
          <w:szCs w:val="22"/>
        </w:rPr>
        <w:instrText> </w:instrText>
      </w:r>
      <w:r w:rsidR="004951AF" w:rsidRPr="007222DE">
        <w:rPr>
          <w:rFonts w:ascii="Georgia" w:hAnsi="Georgia"/>
          <w:sz w:val="22"/>
          <w:szCs w:val="22"/>
        </w:rPr>
        <w:instrText>.005) and experience (OR, 0.87; 95% CI, 0.78-0.98; P</w:instrText>
      </w:r>
      <w:r w:rsidR="004951AF" w:rsidRPr="007222DE">
        <w:rPr>
          <w:sz w:val="22"/>
          <w:szCs w:val="22"/>
        </w:rPr>
        <w:instrText> </w:instrText>
      </w:r>
      <w:r w:rsidR="004951AF" w:rsidRPr="007222DE">
        <w:rPr>
          <w:rFonts w:ascii="Georgia" w:hAnsi="Georgia"/>
          <w:sz w:val="22"/>
          <w:szCs w:val="22"/>
        </w:rPr>
        <w:instrText>=</w:instrText>
      </w:r>
      <w:r w:rsidR="004951AF" w:rsidRPr="007222DE">
        <w:rPr>
          <w:sz w:val="22"/>
          <w:szCs w:val="22"/>
        </w:rPr>
        <w:instrText> </w:instrText>
      </w:r>
      <w:r w:rsidR="004951AF" w:rsidRPr="007222DE">
        <w:rPr>
          <w:rFonts w:ascii="Georgia" w:hAnsi="Georgia"/>
          <w:sz w:val="22"/>
          <w:szCs w:val="22"/>
        </w:rPr>
        <w:instrText>.02) of sexual violence, as well as a 13% significant reduction of any sexual violence (OR, 0.87; 95% CI, 0.78-0.97; P</w:instrText>
      </w:r>
      <w:r w:rsidR="004951AF" w:rsidRPr="007222DE">
        <w:rPr>
          <w:sz w:val="22"/>
          <w:szCs w:val="22"/>
        </w:rPr>
        <w:instrText> </w:instrText>
      </w:r>
      <w:r w:rsidR="004951AF" w:rsidRPr="007222DE">
        <w:rPr>
          <w:rFonts w:ascii="Georgia" w:hAnsi="Georgia"/>
          <w:sz w:val="22"/>
          <w:szCs w:val="22"/>
        </w:rPr>
        <w:instrText>=</w:instrText>
      </w:r>
      <w:r w:rsidR="004951AF" w:rsidRPr="007222DE">
        <w:rPr>
          <w:sz w:val="22"/>
          <w:szCs w:val="22"/>
        </w:rPr>
        <w:instrText> </w:instrText>
      </w:r>
      <w:r w:rsidR="004951AF" w:rsidRPr="007222DE">
        <w:rPr>
          <w:rFonts w:ascii="Georgia" w:hAnsi="Georgia"/>
          <w:sz w:val="22"/>
          <w:szCs w:val="22"/>
        </w:rPr>
        <w:instrText>.009). Exploratory analyses of the combination of program setting and participant age indicated that programs that were delivered in school settings and targeted at adolescents aged 15 to 19 years yielded significantly larger effect sizes (Cochran Q = 4.8; P</w:instrText>
      </w:r>
      <w:r w:rsidR="004951AF" w:rsidRPr="007222DE">
        <w:rPr>
          <w:sz w:val="22"/>
          <w:szCs w:val="22"/>
        </w:rPr>
        <w:instrText> </w:instrText>
      </w:r>
      <w:r w:rsidR="004951AF" w:rsidRPr="007222DE">
        <w:rPr>
          <w:rFonts w:ascii="Georgia" w:hAnsi="Georgia"/>
          <w:sz w:val="22"/>
          <w:szCs w:val="22"/>
        </w:rPr>
        <w:instrText>=</w:instrText>
      </w:r>
      <w:r w:rsidR="004951AF" w:rsidRPr="007222DE">
        <w:rPr>
          <w:sz w:val="22"/>
          <w:szCs w:val="22"/>
        </w:rPr>
        <w:instrText> </w:instrText>
      </w:r>
      <w:r w:rsidR="004951AF" w:rsidRPr="007222DE">
        <w:rPr>
          <w:rFonts w:ascii="Georgia" w:hAnsi="Georgia"/>
          <w:sz w:val="22"/>
          <w:szCs w:val="22"/>
        </w:rPr>
        <w:instrText>.03) compared with programs that were either delivered outside of a school setting or targeted younger adolescents. Quality assessment of trials revealed concerns of risk of bias across several included studies.In this meta-analysis, evidence suggested that prevention programs were associated with reducing adolescent sexual violence, especially when implemented at school with older adolescents. However, there is need for additional high-quality research. Prevention of adolescent sexual violence remains understudied compared with other similarly im…","author":[{"dropping-particle":"","family":"Piolanti","given":"Antonio","non-dropping-particle":"","parse-names":false,"suffix":""},{"dropping-particle":"","family":"Jouriles","given":"Ernest N","non-dropping-particle":"","parse-names":false,"suffix":""},{"dropping-particle":"","family":"Foran","given":"Heather M","non-dropping-particle":"","parse-names":false,"suffix":""}],"container-title":"JAMA Network Open","id":"ITEM-1","issue":"11","issued":{"date-parts":[["2022","11","8"]]},"page":"e2240895-e2240895","title":"Assessment of Psychosocial Programs to Prevent Sexual Violence During Adolescence: A Systematic Review and Meta-analysis","type":"article-journal","volume":"5"},"uris":["http://www.mendeley.com/documents/?uuid=e8fb3da8-8198-4d38-b83d-68bb39d569dc"]}],"mendeley":{"formattedCitation":"(Piolanti, Jouriles and Foran, 2022)","plainTextFormattedCitation":"(Piolanti, Jouriles and Foran, 2022)","previouslyFormattedCitation":"(Piolanti, Jouriles and Foran, 2022)"},"properties":{"noteIndex":0},"schema":"https://github.com/citation-style-language/schema/raw/master/csl-citation.json"}</w:instrText>
      </w:r>
      <w:r w:rsidR="00855D1B" w:rsidRPr="007222DE">
        <w:rPr>
          <w:rFonts w:ascii="Georgia" w:hAnsi="Georgia"/>
          <w:sz w:val="22"/>
          <w:szCs w:val="22"/>
        </w:rPr>
        <w:fldChar w:fldCharType="separate"/>
      </w:r>
      <w:r w:rsidR="00855D1B" w:rsidRPr="007222DE">
        <w:rPr>
          <w:rFonts w:ascii="Georgia" w:hAnsi="Georgia"/>
          <w:noProof/>
          <w:sz w:val="22"/>
          <w:szCs w:val="22"/>
        </w:rPr>
        <w:t>(Piolanti, Jouriles and Foran, 2022)</w:t>
      </w:r>
      <w:r w:rsidR="00855D1B" w:rsidRPr="007222DE">
        <w:rPr>
          <w:rFonts w:ascii="Georgia" w:hAnsi="Georgia"/>
          <w:sz w:val="22"/>
          <w:szCs w:val="22"/>
        </w:rPr>
        <w:fldChar w:fldCharType="end"/>
      </w:r>
      <w:r w:rsidRPr="007222DE">
        <w:rPr>
          <w:rFonts w:ascii="Georgia" w:hAnsi="Georgia"/>
          <w:sz w:val="22"/>
          <w:szCs w:val="22"/>
        </w:rPr>
        <w:t>. Langkah-langkah ini akan membentuk generasi muda yang lebih berdaya, mampu mengenali, mencegah, dan melawan kekerasan seksual, serta menciptakan lingkungan yang lebih aman dan mendukung bagi remaja.</w:t>
      </w:r>
    </w:p>
    <w:p w14:paraId="122BCD60" w14:textId="77777777" w:rsidR="00042C4C" w:rsidRPr="007222DE" w:rsidRDefault="00042C4C" w:rsidP="00042C4C">
      <w:pPr>
        <w:pStyle w:val="BodyText"/>
        <w:ind w:left="116" w:right="116" w:firstLineChars="226" w:firstLine="497"/>
        <w:jc w:val="both"/>
        <w:rPr>
          <w:rFonts w:ascii="Georgia" w:hAnsi="Georgia"/>
          <w:sz w:val="22"/>
          <w:szCs w:val="22"/>
        </w:rPr>
      </w:pPr>
    </w:p>
    <w:p w14:paraId="5CC47788" w14:textId="52FB5DA4" w:rsidR="00CE10D1" w:rsidRPr="007222DE" w:rsidRDefault="001C4142" w:rsidP="00CE10D1">
      <w:pPr>
        <w:pStyle w:val="Heading1"/>
        <w:tabs>
          <w:tab w:val="left" w:pos="836"/>
        </w:tabs>
        <w:spacing w:before="85"/>
        <w:rPr>
          <w:rFonts w:ascii="Georgia" w:hAnsi="Georgia"/>
          <w:spacing w:val="-2"/>
          <w:sz w:val="22"/>
          <w:szCs w:val="22"/>
        </w:rPr>
      </w:pPr>
      <w:r w:rsidRPr="007222DE">
        <w:rPr>
          <w:rFonts w:ascii="Georgia" w:hAnsi="Georgia"/>
          <w:spacing w:val="-2"/>
          <w:sz w:val="22"/>
          <w:szCs w:val="22"/>
        </w:rPr>
        <w:t xml:space="preserve">Metode </w:t>
      </w:r>
    </w:p>
    <w:p w14:paraId="094ABBD2" w14:textId="77777777" w:rsidR="00F13CD2" w:rsidRPr="007222DE" w:rsidRDefault="00F13CD2" w:rsidP="00F13CD2">
      <w:pPr>
        <w:pStyle w:val="BodyText"/>
        <w:ind w:left="116" w:right="116" w:firstLineChars="226" w:firstLine="497"/>
        <w:jc w:val="both"/>
        <w:rPr>
          <w:rFonts w:ascii="Georgia" w:hAnsi="Georgia"/>
          <w:sz w:val="22"/>
          <w:szCs w:val="22"/>
        </w:rPr>
      </w:pPr>
      <w:r w:rsidRPr="007222DE">
        <w:rPr>
          <w:rFonts w:ascii="Georgia" w:hAnsi="Georgia"/>
          <w:sz w:val="22"/>
          <w:szCs w:val="22"/>
        </w:rPr>
        <w:t>Dalam kegiatan pengabdian masyarakat ini, metode yang digunakan adalah pendidikan kesehatan yang berfokus pada peningkatan kesadaran mengenai pencegahan kekerasan seksual di kalangan remaja di SMP 12. Kegiatan ini melibatkan tidak hanya siswa, tetapi juga mengikutsertakan keluarga mereka untuk memperkuat dukungan dan pemahaman di lingkungan rumah. Pendekatan yang digunakan adalah metode ceramah dan demonstrasi yang bertujuan memberikan pemahaman mendalam mengenai isu ini serta keterampilan praktis untuk menjaga keamanan diri.</w:t>
      </w:r>
    </w:p>
    <w:p w14:paraId="055F225D" w14:textId="77777777" w:rsidR="00F13CD2" w:rsidRPr="007222DE" w:rsidRDefault="00F13CD2" w:rsidP="00F13CD2">
      <w:pPr>
        <w:pStyle w:val="BodyText"/>
        <w:ind w:left="116" w:right="116" w:firstLineChars="226" w:firstLine="497"/>
        <w:jc w:val="both"/>
        <w:rPr>
          <w:rFonts w:ascii="Georgia" w:hAnsi="Georgia"/>
          <w:sz w:val="22"/>
          <w:szCs w:val="22"/>
        </w:rPr>
      </w:pPr>
      <w:r w:rsidRPr="007222DE">
        <w:rPr>
          <w:rFonts w:ascii="Georgia" w:hAnsi="Georgia"/>
          <w:sz w:val="22"/>
          <w:szCs w:val="22"/>
        </w:rPr>
        <w:t xml:space="preserve">Pelaksanaan penyuluhan dijadwalkan pada tanggal 28 Oktober </w:t>
      </w:r>
      <w:r w:rsidRPr="007222DE">
        <w:rPr>
          <w:rFonts w:ascii="Georgia" w:hAnsi="Georgia"/>
          <w:sz w:val="22"/>
          <w:szCs w:val="22"/>
        </w:rPr>
        <w:t>2024 di SMP 12, dengan sasaran utama siswa kelas 8 dan 9. Untuk memaksimalkan pemahaman, berbagai media edukasi seperti powerpoint, brosur, poster, dan video disiapkan sebagai alat bantu visual dalam penyuluhan. Materi yang disampaikan mencakup pengenalan hak tubuh, batasan pribadi, serta strategi mengenali dan menghindari situasi berisiko kekerasan seksual. Dalam kegiatan ini, sekitar 50 siswa dari kelas 8 dan 9 terlibat secara aktif. Sebagai tindak lanjut, disarankan untuk memasang spanduk di area sekolah yang berisi informasi penting tentang hak tubuh, batasan pribadi, serta tips untuk melindungi diri dari potensi kekerasan seksual.</w:t>
      </w:r>
    </w:p>
    <w:p w14:paraId="3738223D" w14:textId="77777777" w:rsidR="00F13CD2" w:rsidRPr="007222DE" w:rsidRDefault="00F13CD2" w:rsidP="00F13CD2">
      <w:pPr>
        <w:pStyle w:val="BodyText"/>
        <w:ind w:left="116" w:right="116" w:firstLineChars="226" w:firstLine="497"/>
        <w:jc w:val="both"/>
        <w:rPr>
          <w:rFonts w:ascii="Georgia" w:hAnsi="Georgia"/>
          <w:sz w:val="22"/>
          <w:szCs w:val="22"/>
        </w:rPr>
      </w:pPr>
      <w:r w:rsidRPr="007222DE">
        <w:rPr>
          <w:rFonts w:ascii="Georgia" w:hAnsi="Georgia"/>
          <w:sz w:val="22"/>
          <w:szCs w:val="22"/>
        </w:rPr>
        <w:t>Pengolahan data dalam kegiatan ini menggunakan pendekatan deskriptif kuantitatif dengan desain Pra-Eksperimental. Pengukuran dilakukan sebelum dan sesudah intervensi pendidikan kesehatan untuk melihat perubahan tingkat pengetahuan dan sikap siswa mengenai pencegahan kekerasan seksual. Pada tahap awal, pengukuran dilakukan dengan membagikan kuesioner (Pre-Test) yang dirancang khusus untuk mengevaluasi pemahaman dan kesadaran siswa. Setelah itu, intervensi berupa sesi pendidikan kesehatan tentang pencegahan kekerasan seksual diberikan. Setelah intervensi selesai, kuesioner yang sama dibagikan kembali kepada responden (Post-Test) untuk menilai perubahan yang terjadi.</w:t>
      </w:r>
    </w:p>
    <w:p w14:paraId="64A83AC7" w14:textId="77777777" w:rsidR="00F13CD2" w:rsidRPr="007222DE" w:rsidRDefault="00F13CD2" w:rsidP="00F13CD2">
      <w:pPr>
        <w:pStyle w:val="BodyText"/>
        <w:ind w:left="116" w:right="116" w:firstLineChars="226" w:firstLine="497"/>
        <w:jc w:val="both"/>
        <w:rPr>
          <w:rFonts w:ascii="Georgia" w:hAnsi="Georgia"/>
          <w:sz w:val="22"/>
          <w:szCs w:val="22"/>
        </w:rPr>
      </w:pPr>
    </w:p>
    <w:p w14:paraId="6171B815" w14:textId="54F8B799" w:rsidR="00F13CD2" w:rsidRPr="007222DE" w:rsidRDefault="00F13CD2" w:rsidP="001C4142">
      <w:pPr>
        <w:pStyle w:val="BodyText"/>
        <w:ind w:left="116" w:right="116"/>
        <w:jc w:val="both"/>
        <w:rPr>
          <w:rFonts w:ascii="Georgia" w:hAnsi="Georgia"/>
          <w:sz w:val="22"/>
          <w:szCs w:val="22"/>
        </w:rPr>
      </w:pPr>
      <w:r w:rsidRPr="007222DE">
        <w:rPr>
          <w:rFonts w:ascii="Georgia" w:hAnsi="Georgia"/>
          <w:sz w:val="22"/>
          <w:szCs w:val="22"/>
        </w:rPr>
        <w:t>Desain Intervensi: O1 ------------ X ------------ O2</w:t>
      </w:r>
    </w:p>
    <w:p w14:paraId="09EDFD52" w14:textId="77777777" w:rsidR="001C4142" w:rsidRDefault="001C4142" w:rsidP="00F13CD2">
      <w:pPr>
        <w:pStyle w:val="BodyText"/>
        <w:ind w:left="116" w:right="116" w:firstLineChars="226" w:firstLine="497"/>
        <w:jc w:val="both"/>
        <w:rPr>
          <w:rFonts w:ascii="Georgia" w:hAnsi="Georgia"/>
          <w:sz w:val="22"/>
          <w:szCs w:val="22"/>
        </w:rPr>
      </w:pPr>
    </w:p>
    <w:p w14:paraId="111D4EEC" w14:textId="53DE158F" w:rsidR="00F13CD2" w:rsidRPr="007222DE" w:rsidRDefault="00F13CD2" w:rsidP="001C4142">
      <w:pPr>
        <w:pStyle w:val="BodyText"/>
        <w:ind w:left="116" w:right="116" w:firstLineChars="29" w:firstLine="64"/>
        <w:jc w:val="both"/>
        <w:rPr>
          <w:rFonts w:ascii="Georgia" w:hAnsi="Georgia"/>
          <w:sz w:val="22"/>
          <w:szCs w:val="22"/>
        </w:rPr>
      </w:pPr>
      <w:r w:rsidRPr="007222DE">
        <w:rPr>
          <w:rFonts w:ascii="Georgia" w:hAnsi="Georgia"/>
          <w:sz w:val="22"/>
          <w:szCs w:val="22"/>
        </w:rPr>
        <w:t>Penjelasan:</w:t>
      </w:r>
    </w:p>
    <w:p w14:paraId="624798AF" w14:textId="232D4384" w:rsidR="00F13CD2" w:rsidRPr="007222DE" w:rsidRDefault="00F13CD2" w:rsidP="001C4142">
      <w:pPr>
        <w:pStyle w:val="BodyText"/>
        <w:ind w:left="630" w:right="116" w:hanging="450"/>
        <w:jc w:val="both"/>
        <w:rPr>
          <w:rFonts w:ascii="Georgia" w:hAnsi="Georgia"/>
          <w:sz w:val="22"/>
          <w:szCs w:val="22"/>
        </w:rPr>
      </w:pPr>
      <w:r w:rsidRPr="007222DE">
        <w:rPr>
          <w:rFonts w:ascii="Georgia" w:hAnsi="Georgia"/>
          <w:sz w:val="22"/>
          <w:szCs w:val="22"/>
        </w:rPr>
        <w:t xml:space="preserve">O1: </w:t>
      </w:r>
      <w:r w:rsidR="001C4142">
        <w:rPr>
          <w:rFonts w:ascii="Georgia" w:hAnsi="Georgia"/>
          <w:sz w:val="22"/>
          <w:szCs w:val="22"/>
        </w:rPr>
        <w:t xml:space="preserve"> </w:t>
      </w:r>
      <w:r w:rsidRPr="007222DE">
        <w:rPr>
          <w:rFonts w:ascii="Georgia" w:hAnsi="Georgia"/>
          <w:sz w:val="22"/>
          <w:szCs w:val="22"/>
        </w:rPr>
        <w:t>Pengukuran sebelum pelaksanaan pendidikan kesehatan (Pre-Test)</w:t>
      </w:r>
    </w:p>
    <w:p w14:paraId="6FB963FD" w14:textId="244057F0" w:rsidR="00F13CD2" w:rsidRPr="007222DE" w:rsidRDefault="00F13CD2" w:rsidP="001C4142">
      <w:pPr>
        <w:pStyle w:val="BodyText"/>
        <w:ind w:left="630" w:right="116" w:hanging="450"/>
        <w:jc w:val="both"/>
        <w:rPr>
          <w:rFonts w:ascii="Georgia" w:hAnsi="Georgia"/>
          <w:sz w:val="22"/>
          <w:szCs w:val="22"/>
        </w:rPr>
      </w:pPr>
      <w:r w:rsidRPr="007222DE">
        <w:rPr>
          <w:rFonts w:ascii="Georgia" w:hAnsi="Georgia"/>
          <w:sz w:val="22"/>
          <w:szCs w:val="22"/>
        </w:rPr>
        <w:t xml:space="preserve">X: </w:t>
      </w:r>
      <w:r w:rsidR="001C4142">
        <w:rPr>
          <w:rFonts w:ascii="Georgia" w:hAnsi="Georgia"/>
          <w:sz w:val="22"/>
          <w:szCs w:val="22"/>
        </w:rPr>
        <w:tab/>
      </w:r>
      <w:r w:rsidRPr="007222DE">
        <w:rPr>
          <w:rFonts w:ascii="Georgia" w:hAnsi="Georgia"/>
          <w:sz w:val="22"/>
          <w:szCs w:val="22"/>
        </w:rPr>
        <w:t>Pelaksanaan pendidikan kesehatan mengenai pencegahan kekerasan seksual</w:t>
      </w:r>
    </w:p>
    <w:p w14:paraId="363DC8C3" w14:textId="77777777" w:rsidR="00F13CD2" w:rsidRPr="007222DE" w:rsidRDefault="00F13CD2" w:rsidP="001C4142">
      <w:pPr>
        <w:pStyle w:val="BodyText"/>
        <w:ind w:left="630" w:right="116" w:hanging="450"/>
        <w:jc w:val="both"/>
        <w:rPr>
          <w:rFonts w:ascii="Georgia" w:hAnsi="Georgia"/>
          <w:sz w:val="22"/>
          <w:szCs w:val="22"/>
        </w:rPr>
      </w:pPr>
      <w:r w:rsidRPr="007222DE">
        <w:rPr>
          <w:rFonts w:ascii="Georgia" w:hAnsi="Georgia"/>
          <w:sz w:val="22"/>
          <w:szCs w:val="22"/>
        </w:rPr>
        <w:t>O2: Pengukuran setelah pelaksanaan pendidikan kesehatan (Post-Test)</w:t>
      </w:r>
    </w:p>
    <w:p w14:paraId="50D34B33" w14:textId="77777777" w:rsidR="00F13CD2" w:rsidRPr="007222DE" w:rsidRDefault="00F13CD2" w:rsidP="00F13CD2">
      <w:pPr>
        <w:pStyle w:val="BodyText"/>
        <w:ind w:left="116" w:right="116" w:firstLineChars="226" w:firstLine="497"/>
        <w:jc w:val="both"/>
        <w:rPr>
          <w:rFonts w:ascii="Georgia" w:hAnsi="Georgia"/>
          <w:sz w:val="22"/>
          <w:szCs w:val="22"/>
        </w:rPr>
      </w:pPr>
    </w:p>
    <w:p w14:paraId="025193BA" w14:textId="77777777" w:rsidR="001C4142" w:rsidRDefault="001C4142" w:rsidP="00F13CD2">
      <w:pPr>
        <w:pStyle w:val="BodyText"/>
        <w:ind w:left="116" w:right="116" w:firstLineChars="226" w:firstLine="497"/>
        <w:jc w:val="both"/>
        <w:rPr>
          <w:rFonts w:ascii="Georgia" w:hAnsi="Georgia"/>
          <w:sz w:val="22"/>
          <w:szCs w:val="22"/>
        </w:rPr>
      </w:pPr>
    </w:p>
    <w:p w14:paraId="019761CC" w14:textId="1E52193E" w:rsidR="00F13CD2" w:rsidRPr="007222DE" w:rsidRDefault="001C4142" w:rsidP="00F13CD2">
      <w:pPr>
        <w:pStyle w:val="BodyText"/>
        <w:ind w:left="116" w:right="116" w:firstLineChars="226" w:firstLine="497"/>
        <w:jc w:val="both"/>
        <w:rPr>
          <w:rFonts w:ascii="Georgia" w:hAnsi="Georgia"/>
          <w:sz w:val="22"/>
          <w:szCs w:val="22"/>
        </w:rPr>
      </w:pPr>
      <w:r w:rsidRPr="007222DE">
        <w:rPr>
          <w:rFonts w:ascii="Georgia" w:hAnsi="Georgia"/>
          <w:noProof/>
          <w:sz w:val="22"/>
          <w:szCs w:val="22"/>
        </w:rPr>
        <w:lastRenderedPageBreak/>
        <w:drawing>
          <wp:anchor distT="0" distB="0" distL="114300" distR="114300" simplePos="0" relativeHeight="251661312" behindDoc="0" locked="0" layoutInCell="1" allowOverlap="1" wp14:anchorId="05441F3F" wp14:editId="3BFEEB96">
            <wp:simplePos x="0" y="0"/>
            <wp:positionH relativeFrom="page">
              <wp:posOffset>3654425</wp:posOffset>
            </wp:positionH>
            <wp:positionV relativeFrom="paragraph">
              <wp:posOffset>53340</wp:posOffset>
            </wp:positionV>
            <wp:extent cx="3721100" cy="2647950"/>
            <wp:effectExtent l="0" t="0" r="0" b="0"/>
            <wp:wrapThrough wrapText="bothSides">
              <wp:wrapPolygon edited="0">
                <wp:start x="0" y="0"/>
                <wp:lineTo x="0" y="21445"/>
                <wp:lineTo x="21453" y="21445"/>
                <wp:lineTo x="214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1100" cy="2647950"/>
                    </a:xfrm>
                    <a:prstGeom prst="rect">
                      <a:avLst/>
                    </a:prstGeom>
                    <a:noFill/>
                  </pic:spPr>
                </pic:pic>
              </a:graphicData>
            </a:graphic>
            <wp14:sizeRelH relativeFrom="margin">
              <wp14:pctWidth>0</wp14:pctWidth>
            </wp14:sizeRelH>
            <wp14:sizeRelV relativeFrom="margin">
              <wp14:pctHeight>0</wp14:pctHeight>
            </wp14:sizeRelV>
          </wp:anchor>
        </w:drawing>
      </w:r>
      <w:r w:rsidR="00F13CD2" w:rsidRPr="007222DE">
        <w:rPr>
          <w:rFonts w:ascii="Georgia" w:hAnsi="Georgia"/>
          <w:sz w:val="22"/>
          <w:szCs w:val="22"/>
        </w:rPr>
        <w:t>Desain ini berfungsi untuk mengidentifikasi dan mengevaluasi perubahan pengetahuan dan sikap siswa terkait pencegahan kekerasan seksual setelah pendidikan kesehatan diberikan. Pre-Test membantu menetapkan baseline pengetahuan dan sikap awal, kemudian intervensi pendidikan kesehatan (X) diberikan, diikuti dengan Post-Test untuk mengetahui sejauh mana dampak program terhadap peningkatan kesadaran dan pemahaman siswa</w:t>
      </w:r>
      <w:r w:rsidR="004951AF" w:rsidRPr="007222DE">
        <w:rPr>
          <w:rFonts w:ascii="Georgia" w:hAnsi="Georgia"/>
          <w:sz w:val="22"/>
          <w:szCs w:val="22"/>
        </w:rPr>
        <w:t xml:space="preserve"> </w:t>
      </w:r>
      <w:r w:rsidR="004951AF" w:rsidRPr="007222DE">
        <w:rPr>
          <w:rFonts w:ascii="Georgia" w:hAnsi="Georgia"/>
          <w:sz w:val="22"/>
          <w:szCs w:val="22"/>
        </w:rPr>
        <w:fldChar w:fldCharType="begin" w:fldLock="1"/>
      </w:r>
      <w:r w:rsidR="004951AF" w:rsidRPr="007222DE">
        <w:rPr>
          <w:rFonts w:ascii="Georgia" w:hAnsi="Georgia"/>
          <w:sz w:val="22"/>
          <w:szCs w:val="22"/>
        </w:rPr>
        <w:instrText>ADDIN CSL_CITATION {"citationItems":[{"id":"ITEM-1","itemData":{"author":[{"dropping-particle":"","family":"Sugiono","given":"","non-dropping-particle":"","parse-names":false,"suffix":""}],"id":"ITEM-1","issued":{"date-parts":[["2022"]]},"title":"Metode Penelitian Kuantitatif, Kualitatif, dan R&amp;D. Bandung : Alfabeta, CV.","type":"article-journal"},"uris":["http://www.mendeley.com/documents/?uuid=146e0a9f-aad8-4f0e-bf2f-1e4c705cc5cb"]}],"mendeley":{"formattedCitation":"(Sugiono, 2022)","plainTextFormattedCitation":"(Sugiono, 2022)","previouslyFormattedCitation":"(Sugiono, 2022)"},"properties":{"noteIndex":0},"schema":"https://github.com/citation-style-language/schema/raw/master/csl-citation.json"}</w:instrText>
      </w:r>
      <w:r w:rsidR="004951AF" w:rsidRPr="007222DE">
        <w:rPr>
          <w:rFonts w:ascii="Georgia" w:hAnsi="Georgia"/>
          <w:sz w:val="22"/>
          <w:szCs w:val="22"/>
        </w:rPr>
        <w:fldChar w:fldCharType="separate"/>
      </w:r>
      <w:r w:rsidR="004951AF" w:rsidRPr="007222DE">
        <w:rPr>
          <w:rFonts w:ascii="Georgia" w:hAnsi="Georgia"/>
          <w:noProof/>
          <w:sz w:val="22"/>
          <w:szCs w:val="22"/>
        </w:rPr>
        <w:t>(Sugiono, 2022)</w:t>
      </w:r>
      <w:r w:rsidR="004951AF" w:rsidRPr="007222DE">
        <w:rPr>
          <w:rFonts w:ascii="Georgia" w:hAnsi="Georgia"/>
          <w:sz w:val="22"/>
          <w:szCs w:val="22"/>
        </w:rPr>
        <w:fldChar w:fldCharType="end"/>
      </w:r>
      <w:r w:rsidR="00F13CD2" w:rsidRPr="007222DE">
        <w:rPr>
          <w:rFonts w:ascii="Georgia" w:hAnsi="Georgia"/>
          <w:sz w:val="22"/>
          <w:szCs w:val="22"/>
        </w:rPr>
        <w:t>.</w:t>
      </w:r>
    </w:p>
    <w:p w14:paraId="558B67E4" w14:textId="26129A78" w:rsidR="00253CF2" w:rsidRPr="007222DE" w:rsidRDefault="00253CF2" w:rsidP="00F13CD2">
      <w:pPr>
        <w:pStyle w:val="BodyText"/>
        <w:ind w:left="116" w:right="116" w:firstLineChars="226" w:firstLine="497"/>
        <w:jc w:val="both"/>
        <w:rPr>
          <w:rFonts w:ascii="Georgia" w:hAnsi="Georgia"/>
          <w:sz w:val="22"/>
          <w:szCs w:val="22"/>
        </w:rPr>
      </w:pPr>
    </w:p>
    <w:p w14:paraId="6E9C75A7" w14:textId="31E1A48A" w:rsidR="00CE10D1" w:rsidRPr="007222DE" w:rsidRDefault="001C4142" w:rsidP="00CE10D1">
      <w:pPr>
        <w:pStyle w:val="Heading1"/>
        <w:tabs>
          <w:tab w:val="left" w:pos="836"/>
        </w:tabs>
        <w:spacing w:before="85"/>
        <w:rPr>
          <w:rFonts w:ascii="Georgia" w:hAnsi="Georgia"/>
          <w:spacing w:val="-2"/>
          <w:sz w:val="22"/>
          <w:szCs w:val="22"/>
        </w:rPr>
      </w:pPr>
      <w:r w:rsidRPr="007222DE">
        <w:rPr>
          <w:rFonts w:ascii="Georgia" w:hAnsi="Georgia"/>
          <w:spacing w:val="-2"/>
          <w:sz w:val="22"/>
          <w:szCs w:val="22"/>
        </w:rPr>
        <w:t>Hasil Dan Pembahasan</w:t>
      </w:r>
    </w:p>
    <w:p w14:paraId="42942DC3" w14:textId="445683B4" w:rsidR="00CE10D1" w:rsidRPr="007222DE" w:rsidRDefault="00CE10D1" w:rsidP="00CE10D1">
      <w:pPr>
        <w:pStyle w:val="BodyText"/>
        <w:ind w:left="116" w:right="116" w:firstLineChars="226" w:firstLine="497"/>
        <w:jc w:val="both"/>
        <w:rPr>
          <w:rFonts w:ascii="Georgia" w:hAnsi="Georgia"/>
          <w:sz w:val="22"/>
          <w:szCs w:val="22"/>
        </w:rPr>
      </w:pPr>
      <w:r w:rsidRPr="007222DE">
        <w:rPr>
          <w:rFonts w:ascii="Georgia" w:hAnsi="Georgia"/>
          <w:sz w:val="22"/>
          <w:szCs w:val="22"/>
        </w:rPr>
        <w:t>Langkah-langkah implementasi yang telah dijalankan mencakup penyampaian edukasi kesehatan terkait tata cara yang benar dalam menggunakan, melepaskan, dan membuang masker, serta informasi mengenai jenis-jenis masker dan durasi pemakaian. Pendidikan ini diikuti oleh 15 pasien dan 15 anggota keluarga. Rincian hasil pelaksanaan kegiatan tersebut terdokumentasi dalam tabel berikut:</w:t>
      </w:r>
    </w:p>
    <w:p w14:paraId="71EA373B" w14:textId="1E8D4005"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Kegiatan pengabdian masyarakat ini telah dilaksanakan dengan memberikan edukasi kesehatan yang difokuskan pada pencegahan kekerasan seksual di kalangan remaja di SMP 12. Langkah-langkah implementasi meliputi penyampaian materi tentang pengenalan hak tubuh, batasan pribadi, dan strategi untuk mengenali serta menghindari situasi berisiko terkait kekerasan seksual. Materi ini juga mencakup informasi mengenai cara mengidentifikasi dan melaporkan perilaku atau situasi yang mencurigakan kepada pihak yang berwenang.</w:t>
      </w:r>
    </w:p>
    <w:p w14:paraId="145EEA50" w14:textId="030A0112"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Pendidikan ini diikuti oleh 50 siswa dari kelas 8 dan 9, yang merupakan sasaran utama dalam meningkatkan kesadaran mengenai pencegahan kekerasan seksual. Berikut adalah rincian hasil pelaksanaan kegiatan tersebut:</w:t>
      </w:r>
    </w:p>
    <w:p w14:paraId="31D7C676" w14:textId="3DE57C2E" w:rsidR="008412D2" w:rsidRPr="007222DE" w:rsidRDefault="008412D2" w:rsidP="008412D2">
      <w:pPr>
        <w:pStyle w:val="BodyText"/>
        <w:ind w:left="116" w:right="116" w:firstLineChars="226" w:firstLine="497"/>
        <w:jc w:val="both"/>
        <w:rPr>
          <w:rFonts w:ascii="Georgia" w:hAnsi="Georgia"/>
          <w:sz w:val="22"/>
          <w:szCs w:val="22"/>
        </w:rPr>
      </w:pPr>
    </w:p>
    <w:p w14:paraId="476E94C5" w14:textId="45746BA3" w:rsidR="001C4142" w:rsidRDefault="001C4142" w:rsidP="00253CF2">
      <w:pPr>
        <w:pStyle w:val="BodyText"/>
        <w:ind w:left="116" w:right="116" w:firstLineChars="226" w:firstLine="499"/>
        <w:jc w:val="center"/>
        <w:rPr>
          <w:rFonts w:ascii="Georgia" w:hAnsi="Georgia"/>
          <w:b/>
          <w:bCs/>
          <w:sz w:val="22"/>
          <w:szCs w:val="22"/>
        </w:rPr>
      </w:pPr>
    </w:p>
    <w:p w14:paraId="7A1EC782" w14:textId="59BD1F82" w:rsidR="00253CF2" w:rsidRPr="007222DE" w:rsidRDefault="00253CF2" w:rsidP="001C4142">
      <w:pPr>
        <w:pStyle w:val="BodyText"/>
        <w:ind w:leftChars="-11" w:right="116" w:hangingChars="11" w:hanging="24"/>
        <w:jc w:val="both"/>
        <w:rPr>
          <w:rFonts w:ascii="Georgia" w:hAnsi="Georgia"/>
          <w:b/>
          <w:bCs/>
          <w:sz w:val="22"/>
          <w:szCs w:val="22"/>
        </w:rPr>
      </w:pPr>
      <w:r w:rsidRPr="007222DE">
        <w:rPr>
          <w:rFonts w:ascii="Georgia" w:hAnsi="Georgia"/>
          <w:b/>
          <w:bCs/>
          <w:sz w:val="22"/>
          <w:szCs w:val="22"/>
        </w:rPr>
        <w:t xml:space="preserve">Gambar </w:t>
      </w:r>
      <w:r w:rsidRPr="007222DE">
        <w:rPr>
          <w:rFonts w:ascii="Georgia" w:hAnsi="Georgia"/>
          <w:b/>
          <w:bCs/>
          <w:sz w:val="22"/>
          <w:szCs w:val="22"/>
        </w:rPr>
        <w:t>1. Tingkat Pemahaman Siswa tentang Pencegahan Kekerasan Seksual di SMP 12 Kendari</w:t>
      </w:r>
    </w:p>
    <w:p w14:paraId="06F96A05" w14:textId="15E25107" w:rsidR="00253CF2" w:rsidRPr="007222DE" w:rsidRDefault="00253CF2" w:rsidP="008412D2">
      <w:pPr>
        <w:pStyle w:val="BodyText"/>
        <w:ind w:left="116" w:right="116" w:firstLineChars="226" w:firstLine="497"/>
        <w:jc w:val="both"/>
        <w:rPr>
          <w:rFonts w:ascii="Georgia" w:hAnsi="Georgia"/>
          <w:sz w:val="22"/>
          <w:szCs w:val="22"/>
        </w:rPr>
      </w:pPr>
    </w:p>
    <w:p w14:paraId="2B9E6136" w14:textId="31789DED"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Dari hasil pelaksanaan kegiatan, terlihat bahwa edukasi kesehatan mengenai pencegahan kekerasan seksual berhasil meningkatkan pemahaman siswa di SMP 12, khususnya dalam aspek batasan pribadi dan pentingnya melaporkan kejadian yang berisiko. Berdasarkan tabel hasil kegiatan, sebanyak 90% siswa menunjukkan pemahaman tentang konsep batasan pribadi, sementara 84% siswa memahami prosedur pelaporan kejadian yang mencurigakan atau berpotensi membahayakan. Hal ini menandakan bahwa edukasi yang disampaikan efektif dalam membantu siswa mengenali tanda-tanda risiko dan pentingnya menjaga privasi pribadi.</w:t>
      </w:r>
    </w:p>
    <w:p w14:paraId="1460EAC3" w14:textId="77777777"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 xml:space="preserve">Peningkatan pengetahuan yang signifikan ini menunjukkan bahwa pendekatan berbasis sekolah untuk pendidikan kesehatan mengenai pencegahan kekerasan seksual dapat membangun kesadaran yang lebih kuat di kalangan remaja. Edukasi yang melibatkan metode ceramah dan demonstrasi memungkinkan siswa menerima informasi secara langsung serta berpartisipasi dalam diskusi interaktif. Dengan cara ini, siswa tidak </w:t>
      </w:r>
      <w:r w:rsidRPr="007222DE">
        <w:rPr>
          <w:rFonts w:ascii="Georgia" w:hAnsi="Georgia"/>
          <w:sz w:val="22"/>
          <w:szCs w:val="22"/>
        </w:rPr>
        <w:lastRenderedPageBreak/>
        <w:t>hanya mengingat informasi yang diberikan tetapi juga mampu memahami konsep-konsep pencegahan secara lebih mendalam. Keterlibatan aktif ini mendorong siswa untuk berani menyuarakan hak tubuh mereka dan menegaskan batasan pribadi yang perlu dihormati oleh orang lain.</w:t>
      </w:r>
    </w:p>
    <w:p w14:paraId="58F57FE7" w14:textId="77777777"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Program ini juga memberikan peluang bagi siswa untuk mempelajari dan mengenali situasi yang berpotensi berbahaya. Sebanyak 76% siswa dapat mengidentifikasi situasi yang dianggap berisiko atau mencurigakan, suatu pencapaian yang penting mengingat bahwa pencegahan kekerasan seksual pada remaja memerlukan kesadaran sejak dini. Dalam lingkungan sekolah, siswa harus merasa aman dan terlindungi; melalui edukasi ini, mereka dibekali dengan keterampilan untuk mengidentifikasi, menghindari, dan, jika perlu, melaporkan situasi yang mengancam keselamatan mereka.</w:t>
      </w:r>
    </w:p>
    <w:p w14:paraId="6036CEE8" w14:textId="77777777"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Dengan adanya program ini, siswa belajar untuk mengembangkan sikap asertif, yang memungkinkan mereka untuk menolak perlakuan atau tindakan yang membuat mereka merasa tidak nyaman. Pemahaman ini sangat penting dalam membangun kesadaran diri dan kepercayaan diri, khususnya bagi remaja yang seringkali menghadapi berbagai tekanan sosial. Program pendidikan kesehatan ini juga memberikan arahan bagi siswa tentang bagaimana mereka dapat melindungi diri, baik di lingkungan sekolah maupun di tempat lain.</w:t>
      </w:r>
    </w:p>
    <w:p w14:paraId="3FC75CBF" w14:textId="3620E5CB"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 xml:space="preserve">Sebagai tindak lanjut dari program ini, pemasangan spanduk di lingkungan sekolah dengan informasi tentang hak-hak tubuh dan cara melaporkan kejadian yang mencurigakan sangat disarankan. Dengan menyediakan informasi yang mudah diakses, sekolah dapat memperkuat pesan edukasi yang telah disampaikan dan membantu siswa lebih waspada dalam kehidupan sehari-hari. Pemasangan spanduk ini juga akan menjadi pengingat visual bagi siswa untuk selalu menjaga batasan pribadi dan berhati-hati dalam situasi </w:t>
      </w:r>
      <w:r w:rsidRPr="007222DE">
        <w:rPr>
          <w:rFonts w:ascii="Georgia" w:hAnsi="Georgia"/>
          <w:sz w:val="22"/>
          <w:szCs w:val="22"/>
        </w:rPr>
        <w:t>tertentu.</w:t>
      </w:r>
    </w:p>
    <w:p w14:paraId="55C49103" w14:textId="1D129F08"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Program serupa juga dapat diterapkan di sekolah lain sebagai bagian dari upaya pencegahan kekerasan seksual pada remaja secara lebih luas. Kekerasan seksual di kalangan remaja merupakan masalah serius yang perlu diatasi melalui berbagai pendekatan, termasuk pendidikan kesehatan. Dengan menerapkan program ini di sekolah-sekolah, diharapkan dapat tercipta lingkungan yang lebih aman dan kondusif bagi perkembangan remaja. Lebih jauh lagi, hasil penelitian ini memberikan gambaran tentang pentingnya keterlibatan sekolah, keluarga, dan komunitas dalam upaya pencegahan kekerasan seksual. Edukasi kesehatan berbasis sekolah dapat dijadikan langkah awal dalam membentuk kesadaran kolektif di masyarakat mengenai pentingnya melindungi remaja dari berbagai bentuk kekerasan. Meningkatnya pengetahuan dan kesadaran siswa merupakan langkah signifikan dalam upaya jangka panjang untuk mencegah kekerasan seksual</w:t>
      </w:r>
      <w:r w:rsidR="004951AF" w:rsidRPr="007222DE">
        <w:rPr>
          <w:rFonts w:ascii="Georgia" w:hAnsi="Georgia"/>
          <w:sz w:val="22"/>
          <w:szCs w:val="22"/>
        </w:rPr>
        <w:t xml:space="preserve"> </w:t>
      </w:r>
      <w:r w:rsidR="004951AF" w:rsidRPr="007222DE">
        <w:rPr>
          <w:rFonts w:ascii="Georgia" w:hAnsi="Georgia"/>
          <w:sz w:val="22"/>
          <w:szCs w:val="22"/>
        </w:rPr>
        <w:fldChar w:fldCharType="begin" w:fldLock="1"/>
      </w:r>
      <w:r w:rsidR="004951AF" w:rsidRPr="007222DE">
        <w:rPr>
          <w:rFonts w:ascii="Georgia" w:hAnsi="Georgia"/>
          <w:sz w:val="22"/>
          <w:szCs w:val="22"/>
        </w:rPr>
        <w:instrText>ADDIN CSL_CITATION {"citationItems":[{"id":"ITEM-1","itemData":{"DOI":"10.1080/2372966X.2021.1949933","ISSN":"null","author":[{"dropping-particle":"","family":"Mayer","given":"Matthew J","non-dropping-particle":"","parse-names":false,"suffix":""},{"dropping-particle":"","family":"Nickerson","given":"Amanda B","non-dropping-particle":"","parse-names":false,"suffix":""},{"dropping-particle":"","family":"Jimerson","given":"Shane R","non-dropping-particle":"","parse-names":false,"suffix":""}],"container-title":"School Psychology Review","id":"ITEM-1","issue":"2-3","issued":{"date-parts":[["2021","7","3"]]},"note":"doi: 10.1080/2372966X.2021.1949933","page":"131-142","publisher":"Routledge","title":"Preventing School Violence and Promoting School Safety: Contemporary Scholarship Advancing Science, Practice, and Policy","type":"article-journal","volume":"50"},"uris":["http://www.mendeley.com/documents/?uuid=c0446272-ed65-45cd-89f6-9a3f68646ce0"]}],"mendeley":{"formattedCitation":"(Mayer, Nickerson and Jimerson, 2021)","plainTextFormattedCitation":"(Mayer, Nickerson and Jimerson, 2021)","previouslyFormattedCitation":"(Mayer, Nickerson and Jimerson, 2021)"},"properties":{"noteIndex":0},"schema":"https://github.com/citation-style-language/schema/raw/master/csl-citation.json"}</w:instrText>
      </w:r>
      <w:r w:rsidR="004951AF" w:rsidRPr="007222DE">
        <w:rPr>
          <w:rFonts w:ascii="Georgia" w:hAnsi="Georgia"/>
          <w:sz w:val="22"/>
          <w:szCs w:val="22"/>
        </w:rPr>
        <w:fldChar w:fldCharType="separate"/>
      </w:r>
      <w:r w:rsidR="004951AF" w:rsidRPr="007222DE">
        <w:rPr>
          <w:rFonts w:ascii="Georgia" w:hAnsi="Georgia"/>
          <w:noProof/>
          <w:sz w:val="22"/>
          <w:szCs w:val="22"/>
        </w:rPr>
        <w:t>(Mayer, Nickerson and Jimerson, 2021)</w:t>
      </w:r>
      <w:r w:rsidR="004951AF" w:rsidRPr="007222DE">
        <w:rPr>
          <w:rFonts w:ascii="Georgia" w:hAnsi="Georgia"/>
          <w:sz w:val="22"/>
          <w:szCs w:val="22"/>
        </w:rPr>
        <w:fldChar w:fldCharType="end"/>
      </w:r>
      <w:r w:rsidRPr="007222DE">
        <w:rPr>
          <w:rFonts w:ascii="Georgia" w:hAnsi="Georgia"/>
          <w:sz w:val="22"/>
          <w:szCs w:val="22"/>
        </w:rPr>
        <w:t>.</w:t>
      </w:r>
    </w:p>
    <w:p w14:paraId="2882FE15" w14:textId="22893000" w:rsidR="008412D2" w:rsidRPr="007222DE" w:rsidRDefault="008412D2" w:rsidP="008412D2">
      <w:pPr>
        <w:pStyle w:val="BodyText"/>
        <w:ind w:left="116" w:right="116" w:firstLineChars="226" w:firstLine="497"/>
        <w:jc w:val="both"/>
        <w:rPr>
          <w:rFonts w:ascii="Georgia" w:hAnsi="Georgia"/>
          <w:sz w:val="22"/>
          <w:szCs w:val="22"/>
        </w:rPr>
      </w:pPr>
      <w:r w:rsidRPr="007222DE">
        <w:rPr>
          <w:rFonts w:ascii="Georgia" w:hAnsi="Georgia"/>
          <w:sz w:val="22"/>
          <w:szCs w:val="22"/>
        </w:rPr>
        <w:t>Program pendidikan kesehatan ini menunjukkan bahwa pendekatan berbasis sekolah efektif dalam membangun kesadaran untuk pencegahan kekerasan seksual pada remaja. Kegiatan yang melibatkan ceramah, demonstrasi, serta media pendukung seperti brosur dan poster berhasil memberikan dampak positif pada pemahaman siswa di SMP 12. Program seperti ini dapat menjadi contoh bagi sekolah-sekolah lain dalam upaya mereka untuk menciptakan lingkungan yang aman dan mendukung bagi siswa dalam hal pencegahan kekerasan seksual.</w:t>
      </w:r>
    </w:p>
    <w:p w14:paraId="058D017B" w14:textId="2CF626C1" w:rsidR="00370856" w:rsidRPr="007222DE" w:rsidRDefault="00370856" w:rsidP="008412D2">
      <w:pPr>
        <w:pStyle w:val="BodyText"/>
        <w:ind w:left="116" w:right="116" w:firstLineChars="226" w:firstLine="497"/>
        <w:jc w:val="both"/>
        <w:rPr>
          <w:rFonts w:ascii="Georgia" w:hAnsi="Georgia"/>
          <w:sz w:val="22"/>
          <w:szCs w:val="22"/>
        </w:rPr>
      </w:pPr>
    </w:p>
    <w:p w14:paraId="4AC123F8" w14:textId="4E90B026" w:rsidR="00370856" w:rsidRPr="007222DE" w:rsidRDefault="00370856" w:rsidP="008412D2">
      <w:pPr>
        <w:pStyle w:val="BodyText"/>
        <w:ind w:left="116" w:right="116" w:firstLineChars="226" w:firstLine="497"/>
        <w:jc w:val="both"/>
        <w:rPr>
          <w:rFonts w:ascii="Georgia" w:hAnsi="Georgia"/>
          <w:sz w:val="22"/>
          <w:szCs w:val="22"/>
        </w:rPr>
      </w:pPr>
    </w:p>
    <w:p w14:paraId="7E603375" w14:textId="7F813563" w:rsidR="00913E10" w:rsidRPr="007222DE" w:rsidRDefault="00913E10" w:rsidP="00CE10D1">
      <w:pPr>
        <w:pStyle w:val="BodyText"/>
        <w:ind w:left="116" w:right="116" w:firstLineChars="226" w:firstLine="497"/>
        <w:jc w:val="both"/>
        <w:rPr>
          <w:rFonts w:ascii="Georgia" w:hAnsi="Georgia"/>
          <w:sz w:val="22"/>
          <w:szCs w:val="22"/>
        </w:rPr>
      </w:pPr>
    </w:p>
    <w:p w14:paraId="4A593C05" w14:textId="6867752D" w:rsidR="00913E10" w:rsidRPr="007222DE" w:rsidRDefault="00913E10" w:rsidP="00CE10D1">
      <w:pPr>
        <w:pStyle w:val="BodyText"/>
        <w:ind w:left="116" w:right="116" w:firstLineChars="226" w:firstLine="497"/>
        <w:jc w:val="both"/>
        <w:rPr>
          <w:rFonts w:ascii="Georgia" w:hAnsi="Georgia"/>
          <w:sz w:val="22"/>
          <w:szCs w:val="22"/>
        </w:rPr>
      </w:pPr>
    </w:p>
    <w:p w14:paraId="79314F50" w14:textId="440500F3" w:rsidR="00913E10" w:rsidRPr="007222DE" w:rsidRDefault="00913E10" w:rsidP="00CE10D1">
      <w:pPr>
        <w:pStyle w:val="BodyText"/>
        <w:ind w:left="116" w:right="116" w:firstLineChars="226" w:firstLine="497"/>
        <w:jc w:val="both"/>
        <w:rPr>
          <w:rFonts w:ascii="Georgia" w:hAnsi="Georgia"/>
          <w:sz w:val="22"/>
          <w:szCs w:val="22"/>
        </w:rPr>
      </w:pPr>
    </w:p>
    <w:p w14:paraId="49AC6D1A" w14:textId="378482BF" w:rsidR="00CE10D1" w:rsidRPr="007222DE" w:rsidRDefault="00CE10D1" w:rsidP="00CE10D1">
      <w:pPr>
        <w:pStyle w:val="BodyText"/>
        <w:ind w:left="116" w:right="116" w:firstLineChars="226" w:firstLine="497"/>
        <w:jc w:val="both"/>
        <w:rPr>
          <w:rFonts w:ascii="Georgia" w:hAnsi="Georgia"/>
          <w:sz w:val="22"/>
          <w:szCs w:val="22"/>
        </w:rPr>
      </w:pPr>
    </w:p>
    <w:p w14:paraId="518865AB" w14:textId="681D11BF" w:rsidR="00CE10D1" w:rsidRPr="007222DE" w:rsidRDefault="00CE10D1" w:rsidP="00A6467A">
      <w:pPr>
        <w:pStyle w:val="BodyText"/>
        <w:spacing w:before="2"/>
        <w:rPr>
          <w:rFonts w:ascii="Georgia" w:hAnsi="Georgia"/>
          <w:sz w:val="22"/>
          <w:szCs w:val="22"/>
        </w:rPr>
      </w:pPr>
    </w:p>
    <w:p w14:paraId="774CBB62" w14:textId="77777777" w:rsidR="001C4142" w:rsidRDefault="001C4142" w:rsidP="0080306F">
      <w:pPr>
        <w:pStyle w:val="BodyText"/>
        <w:spacing w:before="2"/>
        <w:ind w:left="112"/>
        <w:jc w:val="center"/>
        <w:rPr>
          <w:rFonts w:ascii="Georgia" w:hAnsi="Georgia"/>
          <w:sz w:val="22"/>
          <w:szCs w:val="22"/>
        </w:rPr>
        <w:sectPr w:rsidR="001C4142" w:rsidSect="007222DE">
          <w:pgSz w:w="11910" w:h="16840" w:code="9"/>
          <w:pgMar w:top="1699" w:right="1699" w:bottom="1699" w:left="1699" w:header="628" w:footer="792" w:gutter="0"/>
          <w:cols w:num="2" w:space="330"/>
        </w:sectPr>
      </w:pPr>
    </w:p>
    <w:p w14:paraId="2FCE292E" w14:textId="6089396F" w:rsidR="001C4142" w:rsidRDefault="00A6467A" w:rsidP="0080306F">
      <w:pPr>
        <w:pStyle w:val="BodyText"/>
        <w:spacing w:before="2"/>
        <w:ind w:left="112"/>
        <w:jc w:val="center"/>
        <w:rPr>
          <w:rFonts w:ascii="Georgia" w:hAnsi="Georgia"/>
          <w:sz w:val="22"/>
          <w:szCs w:val="22"/>
        </w:rPr>
      </w:pPr>
      <w:r w:rsidRPr="007222DE">
        <w:rPr>
          <w:rFonts w:ascii="Georgia" w:hAnsi="Georgia"/>
          <w:noProof/>
          <w:sz w:val="22"/>
          <w:szCs w:val="22"/>
        </w:rPr>
        <w:lastRenderedPageBreak/>
        <w:drawing>
          <wp:anchor distT="0" distB="0" distL="114300" distR="114300" simplePos="0" relativeHeight="251659264" behindDoc="1" locked="0" layoutInCell="1" allowOverlap="1" wp14:anchorId="30D06B0A" wp14:editId="6AA97B11">
            <wp:simplePos x="0" y="0"/>
            <wp:positionH relativeFrom="margin">
              <wp:align>left</wp:align>
            </wp:positionH>
            <wp:positionV relativeFrom="paragraph">
              <wp:posOffset>62055</wp:posOffset>
            </wp:positionV>
            <wp:extent cx="2396359" cy="3294149"/>
            <wp:effectExtent l="0" t="0" r="444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6359" cy="32941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2A938" w14:textId="351D58EB" w:rsidR="008412D2" w:rsidRPr="007222DE" w:rsidRDefault="008412D2" w:rsidP="00A6467A">
      <w:pPr>
        <w:pStyle w:val="ListParagraph"/>
        <w:spacing w:line="240" w:lineRule="auto"/>
        <w:ind w:left="646" w:hanging="79"/>
        <w:rPr>
          <w:rFonts w:ascii="Georgia" w:hAnsi="Georgia"/>
          <w:b/>
        </w:rPr>
      </w:pPr>
    </w:p>
    <w:p w14:paraId="60055401" w14:textId="2C430C1B" w:rsidR="008412D2" w:rsidRPr="007222DE" w:rsidRDefault="00A6467A" w:rsidP="00CE10D1">
      <w:pPr>
        <w:pStyle w:val="ListParagraph"/>
        <w:spacing w:line="240" w:lineRule="auto"/>
        <w:ind w:left="646" w:hanging="79"/>
        <w:jc w:val="center"/>
        <w:rPr>
          <w:rFonts w:ascii="Georgia" w:hAnsi="Georgia"/>
          <w:b/>
        </w:rPr>
      </w:pPr>
      <w:r w:rsidRPr="007222DE">
        <w:rPr>
          <w:rFonts w:ascii="Georgia" w:hAnsi="Georgia"/>
        </w:rPr>
        <w:t xml:space="preserve">Gambar </w:t>
      </w:r>
      <w:r>
        <w:rPr>
          <w:rFonts w:ascii="Georgia" w:hAnsi="Georgia"/>
        </w:rPr>
        <w:t>2</w:t>
      </w:r>
      <w:r w:rsidRPr="007222DE">
        <w:rPr>
          <w:rFonts w:ascii="Georgia" w:hAnsi="Georgia"/>
        </w:rPr>
        <w:t xml:space="preserve">. </w:t>
      </w:r>
      <w:r>
        <w:rPr>
          <w:rFonts w:ascii="Georgia" w:hAnsi="Georgia"/>
        </w:rPr>
        <w:t>Proses</w:t>
      </w:r>
      <w:r w:rsidRPr="007222DE">
        <w:rPr>
          <w:rFonts w:ascii="Georgia" w:hAnsi="Georgia"/>
        </w:rPr>
        <w:t xml:space="preserve"> Edukasi</w:t>
      </w:r>
    </w:p>
    <w:p w14:paraId="5D2B831C" w14:textId="23343716" w:rsidR="008412D2" w:rsidRPr="007222DE" w:rsidRDefault="00A6467A" w:rsidP="00CE10D1">
      <w:pPr>
        <w:pStyle w:val="ListParagraph"/>
        <w:spacing w:line="240" w:lineRule="auto"/>
        <w:ind w:left="646" w:hanging="79"/>
        <w:jc w:val="center"/>
        <w:rPr>
          <w:rFonts w:ascii="Georgia" w:hAnsi="Georgia"/>
          <w:b/>
        </w:rPr>
      </w:pPr>
      <w:r w:rsidRPr="007222DE">
        <w:rPr>
          <w:rFonts w:ascii="Georgia" w:hAnsi="Georgia"/>
          <w:noProof/>
        </w:rPr>
        <w:drawing>
          <wp:anchor distT="0" distB="0" distL="114300" distR="114300" simplePos="0" relativeHeight="251665408" behindDoc="0" locked="0" layoutInCell="1" allowOverlap="1" wp14:anchorId="6AF60559" wp14:editId="25320137">
            <wp:simplePos x="0" y="0"/>
            <wp:positionH relativeFrom="column">
              <wp:align>right</wp:align>
            </wp:positionH>
            <wp:positionV relativeFrom="paragraph">
              <wp:posOffset>161159</wp:posOffset>
            </wp:positionV>
            <wp:extent cx="2790497" cy="34836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0497" cy="3483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9905B5" w14:textId="0EF71A96" w:rsidR="008412D2" w:rsidRPr="007222DE" w:rsidRDefault="008412D2" w:rsidP="00CE10D1">
      <w:pPr>
        <w:pStyle w:val="ListParagraph"/>
        <w:spacing w:line="240" w:lineRule="auto"/>
        <w:ind w:left="646" w:hanging="79"/>
        <w:jc w:val="center"/>
        <w:rPr>
          <w:rFonts w:ascii="Georgia" w:hAnsi="Georgia"/>
          <w:b/>
        </w:rPr>
      </w:pPr>
    </w:p>
    <w:p w14:paraId="0E33B76B" w14:textId="729C84E0" w:rsidR="008412D2" w:rsidRPr="007222DE" w:rsidRDefault="008412D2" w:rsidP="00CE10D1">
      <w:pPr>
        <w:pStyle w:val="ListParagraph"/>
        <w:spacing w:line="240" w:lineRule="auto"/>
        <w:ind w:left="646" w:hanging="79"/>
        <w:jc w:val="center"/>
        <w:rPr>
          <w:rFonts w:ascii="Georgia" w:hAnsi="Georgia"/>
          <w:b/>
        </w:rPr>
      </w:pPr>
    </w:p>
    <w:p w14:paraId="26C1A36E" w14:textId="1F4285C5" w:rsidR="001C4142" w:rsidRDefault="001C4142" w:rsidP="008412D2">
      <w:pPr>
        <w:pStyle w:val="Title"/>
        <w:rPr>
          <w:rFonts w:ascii="Georgia" w:hAnsi="Georgia"/>
          <w:sz w:val="22"/>
          <w:szCs w:val="22"/>
        </w:rPr>
      </w:pPr>
    </w:p>
    <w:p w14:paraId="60A1F048" w14:textId="647BF0BF" w:rsidR="00A6467A" w:rsidRDefault="00A6467A" w:rsidP="008412D2">
      <w:pPr>
        <w:pStyle w:val="Title"/>
        <w:rPr>
          <w:rFonts w:ascii="Georgia" w:hAnsi="Georgia"/>
          <w:sz w:val="22"/>
          <w:szCs w:val="22"/>
        </w:rPr>
      </w:pPr>
    </w:p>
    <w:p w14:paraId="74F2D2BE" w14:textId="48337753" w:rsidR="00A6467A" w:rsidRDefault="00A6467A" w:rsidP="008412D2">
      <w:pPr>
        <w:pStyle w:val="Title"/>
        <w:rPr>
          <w:rFonts w:ascii="Georgia" w:hAnsi="Georgia"/>
          <w:sz w:val="22"/>
          <w:szCs w:val="22"/>
        </w:rPr>
      </w:pPr>
    </w:p>
    <w:p w14:paraId="63803FD6" w14:textId="4A1DEB6E" w:rsidR="00A6467A" w:rsidRDefault="00A6467A" w:rsidP="008412D2">
      <w:pPr>
        <w:pStyle w:val="Title"/>
        <w:rPr>
          <w:rFonts w:ascii="Georgia" w:hAnsi="Georgia"/>
          <w:sz w:val="22"/>
          <w:szCs w:val="22"/>
        </w:rPr>
      </w:pPr>
    </w:p>
    <w:p w14:paraId="78DDAA02" w14:textId="6AD000C4" w:rsidR="00A6467A" w:rsidRDefault="00A6467A" w:rsidP="008412D2">
      <w:pPr>
        <w:pStyle w:val="Title"/>
        <w:rPr>
          <w:rFonts w:ascii="Georgia" w:hAnsi="Georgia"/>
          <w:sz w:val="22"/>
          <w:szCs w:val="22"/>
        </w:rPr>
      </w:pPr>
    </w:p>
    <w:p w14:paraId="48BA4ABA" w14:textId="2DD18E39" w:rsidR="00A6467A" w:rsidRDefault="00A6467A" w:rsidP="008412D2">
      <w:pPr>
        <w:pStyle w:val="Title"/>
        <w:rPr>
          <w:rFonts w:ascii="Georgia" w:hAnsi="Georgia"/>
          <w:sz w:val="22"/>
          <w:szCs w:val="22"/>
        </w:rPr>
      </w:pPr>
    </w:p>
    <w:p w14:paraId="5B49F394" w14:textId="3F124A8F" w:rsidR="00A6467A" w:rsidRDefault="00A6467A" w:rsidP="008412D2">
      <w:pPr>
        <w:pStyle w:val="Title"/>
        <w:rPr>
          <w:rFonts w:ascii="Georgia" w:hAnsi="Georgia"/>
          <w:sz w:val="22"/>
          <w:szCs w:val="22"/>
        </w:rPr>
      </w:pPr>
    </w:p>
    <w:p w14:paraId="3BC328F7" w14:textId="49075D7A" w:rsidR="00A6467A" w:rsidRDefault="00A6467A" w:rsidP="008412D2">
      <w:pPr>
        <w:pStyle w:val="Title"/>
        <w:rPr>
          <w:rFonts w:ascii="Georgia" w:hAnsi="Georgia"/>
          <w:sz w:val="22"/>
          <w:szCs w:val="22"/>
        </w:rPr>
      </w:pPr>
    </w:p>
    <w:p w14:paraId="3A99F1AE" w14:textId="3ED96A51" w:rsidR="00A6467A" w:rsidRDefault="00A6467A" w:rsidP="008412D2">
      <w:pPr>
        <w:pStyle w:val="Title"/>
        <w:rPr>
          <w:rFonts w:ascii="Georgia" w:hAnsi="Georgia"/>
          <w:sz w:val="22"/>
          <w:szCs w:val="22"/>
        </w:rPr>
      </w:pPr>
    </w:p>
    <w:p w14:paraId="35D0718E" w14:textId="18A11D0B" w:rsidR="00A6467A" w:rsidRDefault="00A6467A" w:rsidP="008412D2">
      <w:pPr>
        <w:pStyle w:val="Title"/>
        <w:rPr>
          <w:rFonts w:ascii="Georgia" w:hAnsi="Georgia"/>
          <w:sz w:val="22"/>
          <w:szCs w:val="22"/>
        </w:rPr>
      </w:pPr>
    </w:p>
    <w:p w14:paraId="77E3FB45" w14:textId="002B82D4" w:rsidR="00A6467A" w:rsidRDefault="00A6467A" w:rsidP="008412D2">
      <w:pPr>
        <w:pStyle w:val="Title"/>
        <w:rPr>
          <w:rFonts w:ascii="Georgia" w:hAnsi="Georgia"/>
          <w:sz w:val="22"/>
          <w:szCs w:val="22"/>
        </w:rPr>
      </w:pPr>
    </w:p>
    <w:p w14:paraId="5BE7B5C2" w14:textId="787A5C72" w:rsidR="00A6467A" w:rsidRDefault="00A6467A" w:rsidP="00A6467A">
      <w:pPr>
        <w:pStyle w:val="BodyText"/>
        <w:spacing w:before="2"/>
        <w:ind w:left="112"/>
        <w:jc w:val="center"/>
        <w:rPr>
          <w:rFonts w:ascii="Georgia" w:hAnsi="Georgia"/>
          <w:sz w:val="22"/>
          <w:szCs w:val="22"/>
        </w:rPr>
      </w:pPr>
      <w:r w:rsidRPr="007222DE">
        <w:rPr>
          <w:rFonts w:ascii="Georgia" w:hAnsi="Georgia"/>
          <w:sz w:val="22"/>
          <w:szCs w:val="22"/>
        </w:rPr>
        <w:t xml:space="preserve">Gambar </w:t>
      </w:r>
      <w:r>
        <w:rPr>
          <w:rFonts w:ascii="Georgia" w:hAnsi="Georgia"/>
          <w:sz w:val="22"/>
          <w:szCs w:val="22"/>
        </w:rPr>
        <w:t>3</w:t>
      </w:r>
      <w:r w:rsidRPr="007222DE">
        <w:rPr>
          <w:rFonts w:ascii="Georgia" w:hAnsi="Georgia"/>
          <w:sz w:val="22"/>
          <w:szCs w:val="22"/>
        </w:rPr>
        <w:t xml:space="preserve">. </w:t>
      </w:r>
      <w:r>
        <w:rPr>
          <w:rFonts w:ascii="Georgia" w:hAnsi="Georgia"/>
          <w:sz w:val="22"/>
          <w:szCs w:val="22"/>
        </w:rPr>
        <w:t>Setelah</w:t>
      </w:r>
      <w:r w:rsidRPr="007222DE">
        <w:rPr>
          <w:rFonts w:ascii="Georgia" w:hAnsi="Georgia"/>
          <w:sz w:val="22"/>
          <w:szCs w:val="22"/>
        </w:rPr>
        <w:t xml:space="preserve"> Edukasi</w:t>
      </w:r>
    </w:p>
    <w:p w14:paraId="20469CC4" w14:textId="4FF8C2F3" w:rsidR="00A6467A" w:rsidRDefault="00A6467A" w:rsidP="008412D2">
      <w:pPr>
        <w:pStyle w:val="Title"/>
        <w:rPr>
          <w:rFonts w:ascii="Georgia" w:hAnsi="Georgia"/>
          <w:sz w:val="22"/>
          <w:szCs w:val="22"/>
        </w:rPr>
      </w:pPr>
    </w:p>
    <w:p w14:paraId="155BD1E6" w14:textId="7E90346D" w:rsidR="00A6467A" w:rsidRDefault="00A6467A" w:rsidP="008412D2">
      <w:pPr>
        <w:pStyle w:val="Title"/>
        <w:rPr>
          <w:rFonts w:ascii="Georgia" w:hAnsi="Georgia"/>
          <w:sz w:val="22"/>
          <w:szCs w:val="22"/>
        </w:rPr>
      </w:pPr>
    </w:p>
    <w:p w14:paraId="1C4FB5FE" w14:textId="4EFB1FBE" w:rsidR="00A6467A" w:rsidRPr="007222DE" w:rsidRDefault="00A6467A" w:rsidP="00A6467A">
      <w:pPr>
        <w:pStyle w:val="Title"/>
        <w:rPr>
          <w:rFonts w:ascii="Georgia" w:hAnsi="Georgia"/>
          <w:sz w:val="22"/>
          <w:szCs w:val="22"/>
        </w:rPr>
      </w:pPr>
      <w:r w:rsidRPr="007222DE">
        <w:rPr>
          <w:rFonts w:ascii="Georgia" w:hAnsi="Georgia"/>
          <w:sz w:val="22"/>
          <w:szCs w:val="22"/>
        </w:rPr>
        <w:t xml:space="preserve">Tabel </w:t>
      </w:r>
      <w:r w:rsidR="00A22238">
        <w:rPr>
          <w:rFonts w:ascii="Georgia" w:hAnsi="Georgia"/>
          <w:sz w:val="22"/>
          <w:szCs w:val="22"/>
        </w:rPr>
        <w:t>1</w:t>
      </w:r>
    </w:p>
    <w:p w14:paraId="5FFE5428" w14:textId="282F1878" w:rsidR="00A6467A" w:rsidRDefault="00A6467A" w:rsidP="00A6467A">
      <w:pPr>
        <w:pStyle w:val="Title"/>
        <w:spacing w:before="0"/>
        <w:rPr>
          <w:rFonts w:ascii="Georgia" w:hAnsi="Georgia"/>
          <w:sz w:val="22"/>
          <w:szCs w:val="22"/>
        </w:rPr>
      </w:pPr>
      <w:r w:rsidRPr="007222DE">
        <w:rPr>
          <w:rFonts w:ascii="Georgia" w:hAnsi="Georgia"/>
          <w:sz w:val="22"/>
          <w:szCs w:val="22"/>
        </w:rPr>
        <w:t>Perbedaan Pengetahuan Tentang Pencegahan Kekerasan Seksual sebelum dan Sesudah Diberikan Pendidikan Kesehatan pada Siswa SMP 12</w:t>
      </w:r>
    </w:p>
    <w:tbl>
      <w:tblPr>
        <w:tblpPr w:leftFromText="180" w:rightFromText="180" w:vertAnchor="text" w:horzAnchor="margin" w:tblpXSpec="right" w:tblpY="162"/>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8"/>
        <w:gridCol w:w="291"/>
        <w:gridCol w:w="610"/>
        <w:gridCol w:w="777"/>
        <w:gridCol w:w="582"/>
        <w:gridCol w:w="663"/>
      </w:tblGrid>
      <w:tr w:rsidR="00A6467A" w:rsidRPr="007222DE" w14:paraId="36124715" w14:textId="77777777" w:rsidTr="00A6467A">
        <w:trPr>
          <w:tblHeader/>
          <w:tblCellSpacing w:w="15" w:type="dxa"/>
        </w:trPr>
        <w:tc>
          <w:tcPr>
            <w:tcW w:w="0" w:type="auto"/>
            <w:vAlign w:val="center"/>
            <w:hideMark/>
          </w:tcPr>
          <w:p w14:paraId="297BF506" w14:textId="77777777" w:rsidR="00A6467A" w:rsidRPr="007222DE" w:rsidRDefault="00A6467A" w:rsidP="00A6467A">
            <w:pPr>
              <w:widowControl/>
              <w:autoSpaceDE/>
              <w:autoSpaceDN/>
              <w:jc w:val="center"/>
              <w:rPr>
                <w:rFonts w:ascii="Georgia" w:hAnsi="Georgia"/>
                <w:b/>
                <w:bCs/>
              </w:rPr>
            </w:pPr>
            <w:r w:rsidRPr="007222DE">
              <w:rPr>
                <w:rFonts w:ascii="Georgia" w:hAnsi="Georgia"/>
                <w:b/>
                <w:bCs/>
              </w:rPr>
              <w:t>Variabel</w:t>
            </w:r>
          </w:p>
        </w:tc>
        <w:tc>
          <w:tcPr>
            <w:tcW w:w="0" w:type="auto"/>
            <w:vAlign w:val="center"/>
            <w:hideMark/>
          </w:tcPr>
          <w:p w14:paraId="1373C0B9" w14:textId="77777777" w:rsidR="00A6467A" w:rsidRPr="007222DE" w:rsidRDefault="00A6467A" w:rsidP="00A6467A">
            <w:pPr>
              <w:widowControl/>
              <w:autoSpaceDE/>
              <w:autoSpaceDN/>
              <w:jc w:val="center"/>
              <w:rPr>
                <w:rFonts w:ascii="Georgia" w:hAnsi="Georgia"/>
                <w:b/>
                <w:bCs/>
              </w:rPr>
            </w:pPr>
            <w:r w:rsidRPr="007222DE">
              <w:rPr>
                <w:rFonts w:ascii="Georgia" w:hAnsi="Georgia"/>
                <w:b/>
                <w:bCs/>
              </w:rPr>
              <w:t>n</w:t>
            </w:r>
          </w:p>
        </w:tc>
        <w:tc>
          <w:tcPr>
            <w:tcW w:w="0" w:type="auto"/>
            <w:vAlign w:val="center"/>
            <w:hideMark/>
          </w:tcPr>
          <w:p w14:paraId="5AB52F01" w14:textId="77777777" w:rsidR="00A6467A" w:rsidRPr="007222DE" w:rsidRDefault="00A6467A" w:rsidP="00A6467A">
            <w:pPr>
              <w:widowControl/>
              <w:autoSpaceDE/>
              <w:autoSpaceDN/>
              <w:jc w:val="center"/>
              <w:rPr>
                <w:rFonts w:ascii="Georgia" w:hAnsi="Georgia"/>
                <w:b/>
                <w:bCs/>
              </w:rPr>
            </w:pPr>
            <w:r w:rsidRPr="007222DE">
              <w:rPr>
                <w:rFonts w:ascii="Georgia" w:hAnsi="Georgia"/>
                <w:b/>
                <w:bCs/>
              </w:rPr>
              <w:t>Mean</w:t>
            </w:r>
          </w:p>
        </w:tc>
        <w:tc>
          <w:tcPr>
            <w:tcW w:w="0" w:type="auto"/>
            <w:vAlign w:val="center"/>
            <w:hideMark/>
          </w:tcPr>
          <w:p w14:paraId="73D9233C" w14:textId="77777777" w:rsidR="00A6467A" w:rsidRPr="007222DE" w:rsidRDefault="00A6467A" w:rsidP="00A6467A">
            <w:pPr>
              <w:widowControl/>
              <w:autoSpaceDE/>
              <w:autoSpaceDN/>
              <w:jc w:val="center"/>
              <w:rPr>
                <w:rFonts w:ascii="Georgia" w:hAnsi="Georgia"/>
                <w:b/>
                <w:bCs/>
              </w:rPr>
            </w:pPr>
            <w:r w:rsidRPr="007222DE">
              <w:rPr>
                <w:rFonts w:ascii="Georgia" w:hAnsi="Georgia"/>
                <w:b/>
                <w:bCs/>
              </w:rPr>
              <w:t>Std. Deviasi</w:t>
            </w:r>
          </w:p>
        </w:tc>
        <w:tc>
          <w:tcPr>
            <w:tcW w:w="0" w:type="auto"/>
            <w:vAlign w:val="center"/>
            <w:hideMark/>
          </w:tcPr>
          <w:p w14:paraId="6C29A7E2" w14:textId="77777777" w:rsidR="00A6467A" w:rsidRPr="007222DE" w:rsidRDefault="00A6467A" w:rsidP="00A6467A">
            <w:pPr>
              <w:widowControl/>
              <w:autoSpaceDE/>
              <w:autoSpaceDN/>
              <w:jc w:val="center"/>
              <w:rPr>
                <w:rFonts w:ascii="Georgia" w:hAnsi="Georgia"/>
                <w:b/>
                <w:bCs/>
              </w:rPr>
            </w:pPr>
            <w:r w:rsidRPr="007222DE">
              <w:rPr>
                <w:rFonts w:ascii="Georgia" w:hAnsi="Georgia"/>
                <w:b/>
                <w:bCs/>
              </w:rPr>
              <w:t>p</w:t>
            </w:r>
          </w:p>
        </w:tc>
        <w:tc>
          <w:tcPr>
            <w:tcW w:w="0" w:type="auto"/>
            <w:vAlign w:val="center"/>
            <w:hideMark/>
          </w:tcPr>
          <w:p w14:paraId="151A894F" w14:textId="77777777" w:rsidR="00A6467A" w:rsidRPr="007222DE" w:rsidRDefault="00A6467A" w:rsidP="00A6467A">
            <w:pPr>
              <w:widowControl/>
              <w:autoSpaceDE/>
              <w:autoSpaceDN/>
              <w:jc w:val="center"/>
              <w:rPr>
                <w:rFonts w:ascii="Georgia" w:hAnsi="Georgia"/>
                <w:b/>
                <w:bCs/>
              </w:rPr>
            </w:pPr>
            <w:r w:rsidRPr="007222DE">
              <w:rPr>
                <w:rFonts w:ascii="Georgia" w:hAnsi="Georgia"/>
                <w:b/>
                <w:bCs/>
              </w:rPr>
              <w:t>t</w:t>
            </w:r>
          </w:p>
        </w:tc>
      </w:tr>
      <w:tr w:rsidR="00A6467A" w:rsidRPr="007222DE" w14:paraId="176372EC" w14:textId="77777777" w:rsidTr="00A6467A">
        <w:trPr>
          <w:tblCellSpacing w:w="15" w:type="dxa"/>
        </w:trPr>
        <w:tc>
          <w:tcPr>
            <w:tcW w:w="0" w:type="auto"/>
            <w:vAlign w:val="center"/>
            <w:hideMark/>
          </w:tcPr>
          <w:p w14:paraId="763DD0FC" w14:textId="77777777" w:rsidR="00A6467A" w:rsidRPr="007222DE" w:rsidRDefault="00A6467A" w:rsidP="00A6467A">
            <w:pPr>
              <w:widowControl/>
              <w:autoSpaceDE/>
              <w:autoSpaceDN/>
              <w:rPr>
                <w:rFonts w:ascii="Georgia" w:hAnsi="Georgia"/>
              </w:rPr>
            </w:pPr>
            <w:r w:rsidRPr="007222DE">
              <w:rPr>
                <w:rFonts w:ascii="Georgia" w:hAnsi="Georgia"/>
              </w:rPr>
              <w:t>Pengetahuan Tentang Pencegahan Kekerasan Seksual sebelum Pendidikan Kesehatan</w:t>
            </w:r>
          </w:p>
        </w:tc>
        <w:tc>
          <w:tcPr>
            <w:tcW w:w="0" w:type="auto"/>
            <w:vAlign w:val="center"/>
            <w:hideMark/>
          </w:tcPr>
          <w:p w14:paraId="3C874404" w14:textId="77777777" w:rsidR="00A6467A" w:rsidRPr="007222DE" w:rsidRDefault="00A6467A" w:rsidP="00A6467A">
            <w:pPr>
              <w:widowControl/>
              <w:autoSpaceDE/>
              <w:autoSpaceDN/>
              <w:rPr>
                <w:rFonts w:ascii="Georgia" w:hAnsi="Georgia"/>
              </w:rPr>
            </w:pPr>
            <w:r w:rsidRPr="007222DE">
              <w:rPr>
                <w:rFonts w:ascii="Georgia" w:hAnsi="Georgia"/>
              </w:rPr>
              <w:t>50</w:t>
            </w:r>
          </w:p>
        </w:tc>
        <w:tc>
          <w:tcPr>
            <w:tcW w:w="0" w:type="auto"/>
            <w:vAlign w:val="center"/>
            <w:hideMark/>
          </w:tcPr>
          <w:p w14:paraId="2C4919A8" w14:textId="77777777" w:rsidR="00A6467A" w:rsidRPr="007222DE" w:rsidRDefault="00A6467A" w:rsidP="00A6467A">
            <w:pPr>
              <w:widowControl/>
              <w:autoSpaceDE/>
              <w:autoSpaceDN/>
              <w:rPr>
                <w:rFonts w:ascii="Georgia" w:hAnsi="Georgia"/>
              </w:rPr>
            </w:pPr>
            <w:r w:rsidRPr="007222DE">
              <w:rPr>
                <w:rFonts w:ascii="Georgia" w:hAnsi="Georgia"/>
              </w:rPr>
              <w:t>18.50</w:t>
            </w:r>
          </w:p>
        </w:tc>
        <w:tc>
          <w:tcPr>
            <w:tcW w:w="0" w:type="auto"/>
            <w:vAlign w:val="center"/>
            <w:hideMark/>
          </w:tcPr>
          <w:p w14:paraId="0B6A1175" w14:textId="77777777" w:rsidR="00A6467A" w:rsidRPr="007222DE" w:rsidRDefault="00A6467A" w:rsidP="00A6467A">
            <w:pPr>
              <w:widowControl/>
              <w:autoSpaceDE/>
              <w:autoSpaceDN/>
              <w:rPr>
                <w:rFonts w:ascii="Georgia" w:hAnsi="Georgia"/>
              </w:rPr>
            </w:pPr>
            <w:r w:rsidRPr="007222DE">
              <w:rPr>
                <w:rFonts w:ascii="Georgia" w:hAnsi="Georgia"/>
              </w:rPr>
              <w:t>3.800</w:t>
            </w:r>
          </w:p>
        </w:tc>
        <w:tc>
          <w:tcPr>
            <w:tcW w:w="0" w:type="auto"/>
            <w:vAlign w:val="center"/>
            <w:hideMark/>
          </w:tcPr>
          <w:p w14:paraId="7F2C7DA8" w14:textId="77777777" w:rsidR="00A6467A" w:rsidRPr="007222DE" w:rsidRDefault="00A6467A" w:rsidP="00A6467A">
            <w:pPr>
              <w:widowControl/>
              <w:autoSpaceDE/>
              <w:autoSpaceDN/>
              <w:rPr>
                <w:rFonts w:ascii="Georgia" w:hAnsi="Georgia"/>
              </w:rPr>
            </w:pPr>
            <w:r w:rsidRPr="007222DE">
              <w:rPr>
                <w:rFonts w:ascii="Georgia" w:hAnsi="Georgia"/>
              </w:rPr>
              <w:t>0,000</w:t>
            </w:r>
          </w:p>
        </w:tc>
        <w:tc>
          <w:tcPr>
            <w:tcW w:w="0" w:type="auto"/>
            <w:vAlign w:val="center"/>
            <w:hideMark/>
          </w:tcPr>
          <w:p w14:paraId="68DD9329" w14:textId="77777777" w:rsidR="00A6467A" w:rsidRPr="007222DE" w:rsidRDefault="00A6467A" w:rsidP="00A6467A">
            <w:pPr>
              <w:widowControl/>
              <w:autoSpaceDE/>
              <w:autoSpaceDN/>
              <w:rPr>
                <w:rFonts w:ascii="Georgia" w:hAnsi="Georgia"/>
              </w:rPr>
            </w:pPr>
            <w:r w:rsidRPr="007222DE">
              <w:rPr>
                <w:rFonts w:ascii="Georgia" w:hAnsi="Georgia"/>
              </w:rPr>
              <w:t>-20.365</w:t>
            </w:r>
          </w:p>
        </w:tc>
      </w:tr>
      <w:tr w:rsidR="00A6467A" w:rsidRPr="007222DE" w14:paraId="06492C0A" w14:textId="77777777" w:rsidTr="00A6467A">
        <w:trPr>
          <w:tblCellSpacing w:w="15" w:type="dxa"/>
        </w:trPr>
        <w:tc>
          <w:tcPr>
            <w:tcW w:w="0" w:type="auto"/>
            <w:vAlign w:val="center"/>
            <w:hideMark/>
          </w:tcPr>
          <w:p w14:paraId="5D3C9835" w14:textId="77777777" w:rsidR="00A6467A" w:rsidRPr="007222DE" w:rsidRDefault="00A6467A" w:rsidP="00A6467A">
            <w:pPr>
              <w:widowControl/>
              <w:autoSpaceDE/>
              <w:autoSpaceDN/>
              <w:rPr>
                <w:rFonts w:ascii="Georgia" w:hAnsi="Georgia"/>
              </w:rPr>
            </w:pPr>
            <w:r w:rsidRPr="007222DE">
              <w:rPr>
                <w:rFonts w:ascii="Georgia" w:hAnsi="Georgia"/>
              </w:rPr>
              <w:t>Pengetahuan Tentang Pencegahan Kekerasan Seksual sesudah Pendidikan Kesehatan</w:t>
            </w:r>
          </w:p>
        </w:tc>
        <w:tc>
          <w:tcPr>
            <w:tcW w:w="0" w:type="auto"/>
            <w:vAlign w:val="center"/>
            <w:hideMark/>
          </w:tcPr>
          <w:p w14:paraId="78A8063D" w14:textId="77777777" w:rsidR="00A6467A" w:rsidRPr="007222DE" w:rsidRDefault="00A6467A" w:rsidP="00A6467A">
            <w:pPr>
              <w:widowControl/>
              <w:autoSpaceDE/>
              <w:autoSpaceDN/>
              <w:rPr>
                <w:rFonts w:ascii="Georgia" w:hAnsi="Georgia"/>
              </w:rPr>
            </w:pPr>
            <w:r w:rsidRPr="007222DE">
              <w:rPr>
                <w:rFonts w:ascii="Georgia" w:hAnsi="Georgia"/>
              </w:rPr>
              <w:t>50</w:t>
            </w:r>
          </w:p>
        </w:tc>
        <w:tc>
          <w:tcPr>
            <w:tcW w:w="0" w:type="auto"/>
            <w:vAlign w:val="center"/>
            <w:hideMark/>
          </w:tcPr>
          <w:p w14:paraId="61043BF5" w14:textId="77777777" w:rsidR="00A6467A" w:rsidRPr="007222DE" w:rsidRDefault="00A6467A" w:rsidP="00A6467A">
            <w:pPr>
              <w:widowControl/>
              <w:autoSpaceDE/>
              <w:autoSpaceDN/>
              <w:rPr>
                <w:rFonts w:ascii="Georgia" w:hAnsi="Georgia"/>
              </w:rPr>
            </w:pPr>
            <w:r w:rsidRPr="007222DE">
              <w:rPr>
                <w:rFonts w:ascii="Georgia" w:hAnsi="Georgia"/>
              </w:rPr>
              <w:t>24.80</w:t>
            </w:r>
          </w:p>
        </w:tc>
        <w:tc>
          <w:tcPr>
            <w:tcW w:w="0" w:type="auto"/>
            <w:vAlign w:val="center"/>
            <w:hideMark/>
          </w:tcPr>
          <w:p w14:paraId="7A7D121F" w14:textId="77777777" w:rsidR="00A6467A" w:rsidRPr="007222DE" w:rsidRDefault="00A6467A" w:rsidP="00A6467A">
            <w:pPr>
              <w:widowControl/>
              <w:autoSpaceDE/>
              <w:autoSpaceDN/>
              <w:rPr>
                <w:rFonts w:ascii="Georgia" w:hAnsi="Georgia"/>
              </w:rPr>
            </w:pPr>
            <w:r w:rsidRPr="007222DE">
              <w:rPr>
                <w:rFonts w:ascii="Georgia" w:hAnsi="Georgia"/>
              </w:rPr>
              <w:t>3.200</w:t>
            </w:r>
          </w:p>
        </w:tc>
        <w:tc>
          <w:tcPr>
            <w:tcW w:w="0" w:type="auto"/>
            <w:vAlign w:val="center"/>
            <w:hideMark/>
          </w:tcPr>
          <w:p w14:paraId="2B2D3396" w14:textId="77777777" w:rsidR="00A6467A" w:rsidRPr="007222DE" w:rsidRDefault="00A6467A" w:rsidP="00A6467A">
            <w:pPr>
              <w:widowControl/>
              <w:autoSpaceDE/>
              <w:autoSpaceDN/>
              <w:rPr>
                <w:rFonts w:ascii="Georgia" w:hAnsi="Georgia"/>
              </w:rPr>
            </w:pPr>
          </w:p>
        </w:tc>
        <w:tc>
          <w:tcPr>
            <w:tcW w:w="0" w:type="auto"/>
            <w:vAlign w:val="center"/>
            <w:hideMark/>
          </w:tcPr>
          <w:p w14:paraId="0020D2F2" w14:textId="77777777" w:rsidR="00A6467A" w:rsidRPr="007222DE" w:rsidRDefault="00A6467A" w:rsidP="00A6467A">
            <w:pPr>
              <w:widowControl/>
              <w:autoSpaceDE/>
              <w:autoSpaceDN/>
              <w:rPr>
                <w:rFonts w:ascii="Georgia" w:hAnsi="Georgia"/>
              </w:rPr>
            </w:pPr>
          </w:p>
        </w:tc>
      </w:tr>
    </w:tbl>
    <w:p w14:paraId="40B2433E" w14:textId="77777777" w:rsidR="00A6467A" w:rsidRDefault="00A6467A" w:rsidP="008A0FC2">
      <w:pPr>
        <w:pStyle w:val="BodyText"/>
        <w:ind w:left="116" w:right="116" w:firstLineChars="226" w:firstLine="497"/>
        <w:jc w:val="both"/>
        <w:rPr>
          <w:rFonts w:ascii="Georgia" w:hAnsi="Georgia"/>
          <w:sz w:val="22"/>
          <w:szCs w:val="22"/>
        </w:rPr>
      </w:pPr>
    </w:p>
    <w:p w14:paraId="76E4E79A" w14:textId="6869B7FD"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 xml:space="preserve">Dari Tabel </w:t>
      </w:r>
      <w:r w:rsidR="00A22238">
        <w:rPr>
          <w:rFonts w:ascii="Georgia" w:hAnsi="Georgia"/>
          <w:sz w:val="22"/>
          <w:szCs w:val="22"/>
        </w:rPr>
        <w:t>1</w:t>
      </w:r>
      <w:r w:rsidRPr="007222DE">
        <w:rPr>
          <w:rFonts w:ascii="Georgia" w:hAnsi="Georgia"/>
          <w:sz w:val="22"/>
          <w:szCs w:val="22"/>
        </w:rPr>
        <w:t xml:space="preserve">, terlihat bahwa hasil pendidikan kesehatan memiliki pengaruh signifikan terhadap peningkatan pengetahuan siswa SMP 12 tentang pencegahan kekerasan seksual. Pada pengukuran awal, rata-rata pengetahuan siswa hanya mencapai 18,50, menunjukkan pemahaman yang relatif rendah tentang topik tersebut. Namun, setelah diberikan intervensi berupa pendidikan kesehatan, rata-rata pengetahuan meningkat menjadi 24,80. Peningkatan ini menggambarkan adanya pemahaman yang lebih baik terkait konsep-konsep penting dalam pencegahan kekerasan seksual, seperti hak tubuh, batasan pribadi, pengenalan situasi berisiko, dan prosedur </w:t>
      </w:r>
      <w:r w:rsidRPr="007222DE">
        <w:rPr>
          <w:rFonts w:ascii="Georgia" w:hAnsi="Georgia"/>
          <w:sz w:val="22"/>
          <w:szCs w:val="22"/>
        </w:rPr>
        <w:lastRenderedPageBreak/>
        <w:t>pelaporan.</w:t>
      </w:r>
    </w:p>
    <w:p w14:paraId="399C7E95" w14:textId="0C9C6FE8"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Nilai p sebesar 0,000 menunjukkan bahwa perbedaan dalam pengetahuan siswa sebelum dan sesudah intervensi adalah sangat signifikan secara statistik. Hal ini berarti peningkatan pengetahuan yang terjadi bukanlah hasil kebetulan, melainkan merupakan efek dari program pendidikan yang diberikan. Nilai t sebesar -20,365 juga menunjukkan adanya perubahan yang substansial, memperkuat temuan bahwa intervensi tersebut berdampak nyata dalam meningkatkan pemahaman siswa tentang pencegahan kekerasan seksual.</w:t>
      </w:r>
      <w:r w:rsidRPr="007222DE">
        <w:rPr>
          <w:rFonts w:ascii="Georgia" w:hAnsi="Georgia"/>
          <w:sz w:val="22"/>
          <w:szCs w:val="22"/>
        </w:rPr>
        <w:t xml:space="preserve"> </w:t>
      </w:r>
      <w:r w:rsidRPr="007222DE">
        <w:rPr>
          <w:rFonts w:ascii="Georgia" w:hAnsi="Georgia"/>
          <w:sz w:val="22"/>
          <w:szCs w:val="22"/>
        </w:rPr>
        <w:t>Pentingnya pendidikan kesehatan pada topik kekerasan seksual di kalangan remaja tidak dapat diabaikan. Melalui pendidikan ini, siswa tidak hanya mendapatkan informasi tentang bagaimana melindungi diri mereka dari kekerasan seksual, tetapi juga memahami pentingnya menjaga batasan pribadi dan mengenali hak-hak tubuh mereka. Peningkatan pengetahuan ini akan membantu mereka mengembangkan kemampuan untuk mendeteksi tanda-tanda bahaya serta membangun keberanian untuk melaporkan kejadian yang mencurigakan kepada pihak berwenang.</w:t>
      </w:r>
    </w:p>
    <w:p w14:paraId="2C708900" w14:textId="58207F9E"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 xml:space="preserve">Peningkatan </w:t>
      </w:r>
      <w:r w:rsidRPr="007222DE">
        <w:rPr>
          <w:rFonts w:ascii="Georgia" w:hAnsi="Georgia"/>
          <w:sz w:val="22"/>
          <w:szCs w:val="22"/>
        </w:rPr>
        <w:t>yang signifikan ini menggaris</w:t>
      </w:r>
      <w:r w:rsidR="004951AF" w:rsidRPr="007222DE">
        <w:rPr>
          <w:rFonts w:ascii="Georgia" w:hAnsi="Georgia"/>
          <w:sz w:val="22"/>
          <w:szCs w:val="22"/>
        </w:rPr>
        <w:t xml:space="preserve"> </w:t>
      </w:r>
      <w:r w:rsidRPr="007222DE">
        <w:rPr>
          <w:rFonts w:ascii="Georgia" w:hAnsi="Georgia"/>
          <w:sz w:val="22"/>
          <w:szCs w:val="22"/>
        </w:rPr>
        <w:t>bawahi efektivitas metode pendidikan yang digunakan, yaitu kombinasi ceramah dan demonstrasi. Metode ini memungkinkan siswa menerima informasi secara langsung, dengan tambahan visualisasi melalui media seperti poster dan video, sehingga memperkuat daya ingat dan pemahaman mereka. Diskusi interaktif juga memungkinkan siswa untuk bertanya dan mendapatkan klarifikasi, yang pada gilirannya memperdalam pemahaman mereka.</w:t>
      </w:r>
      <w:r w:rsidRPr="007222DE">
        <w:rPr>
          <w:rFonts w:ascii="Georgia" w:hAnsi="Georgia"/>
          <w:sz w:val="22"/>
          <w:szCs w:val="22"/>
        </w:rPr>
        <w:t xml:space="preserve"> </w:t>
      </w:r>
      <w:r w:rsidRPr="007222DE">
        <w:rPr>
          <w:rFonts w:ascii="Georgia" w:hAnsi="Georgia"/>
          <w:sz w:val="22"/>
          <w:szCs w:val="22"/>
        </w:rPr>
        <w:t xml:space="preserve">Hasil ini memberikan dasar yang kuat bagi pentingnya pelaksanaan program serupa di sekolah-sekolah lain. Pendidikan kesehatan mengenai pencegahan kekerasan seksual harus </w:t>
      </w:r>
      <w:r w:rsidRPr="007222DE">
        <w:rPr>
          <w:rFonts w:ascii="Georgia" w:hAnsi="Georgia"/>
          <w:sz w:val="22"/>
          <w:szCs w:val="22"/>
        </w:rPr>
        <w:t>menjadi bagian integral dari kurikulum pendidikan dasar, khususnya pada tingkat SMP, karena periode remaja adalah fase perkembangan yang krusial. Melalui pendidikan ini, siswa diharapkan tidak hanya mendapatkan pengetahuan yang penting, tetapi juga mengembangkan sikap yang mendukung pencegahan kekerasan seksual di lingkungan mereka</w:t>
      </w:r>
      <w:r w:rsidR="004951AF" w:rsidRPr="007222DE">
        <w:rPr>
          <w:rFonts w:ascii="Georgia" w:hAnsi="Georgia"/>
          <w:sz w:val="22"/>
          <w:szCs w:val="22"/>
        </w:rPr>
        <w:t xml:space="preserve"> </w:t>
      </w:r>
      <w:r w:rsidR="004951AF" w:rsidRPr="007222DE">
        <w:rPr>
          <w:rFonts w:ascii="Georgia" w:hAnsi="Georgia"/>
          <w:sz w:val="22"/>
          <w:szCs w:val="22"/>
        </w:rPr>
        <w:fldChar w:fldCharType="begin" w:fldLock="1"/>
      </w:r>
      <w:r w:rsidR="004C6098" w:rsidRPr="007222DE">
        <w:rPr>
          <w:rFonts w:ascii="Georgia" w:hAnsi="Georgia"/>
          <w:sz w:val="22"/>
          <w:szCs w:val="22"/>
        </w:rPr>
        <w:instrText>ADDIN CSL_CITATION {"citationItems":[{"id":"ITEM-1","itemData":{"DOI":"https://doi.org/10.1016/j.heliyon.2022.e12657","ISSN":"2405-8440","abstract":"Individuals attempting to study remotely during the COVID-19 lockdown will find that blended learning is a helpful solution and results in a significant increase in learning engagement. The best benefits for teachers and students are obtained by maximizing the advantages of each teaching method and by combining the advantages of online and face-to-face instruction. The study aims to investigate the effectiveness of the flex model of blended learning in teaching the mathematics subtopic of coordinates in the plane through the improvement of students' academic achievement, self-study skills and learning attitudes. A quasi-experiment was conducted to compare the academic achievement, self-study skills and learning attitudes of 46 students in the control class who used traditional methods to those of 44 students in the experimental group who used the blended learning model. The pre-and post-test results, observations, and student opinion survey were used to compile data, which were then analyzed quantitatively (with SPSS) and qualitatively. The study confirmed that blended learning positively impacts students' academic achievement in the experimental class compared with the control class (Sig (2-tailed) = 0.001 and SMD = 0.6717), as demonstrated by the outcomes of the independent t-test analysis of the two groups in the post-test phase. In addition, observations and student opinion survey results also indicated that blended learning increased student interactions with teachers and improved students' academic achievement, self-study abilities and learning attitudes. Due to time constraints, not all the students who participated in the experiment could make progress. On the other hand, the study's relatively small sample size gave the impression that the results were only partially representative of the population. As a result, additional studies focusing on improving the effectiveness of teaching and learning within different blended learning models, broadening the scope of research on the influence of blended learning in other subjects, or increasing the sample size can all be considered.","author":[{"dropping-particle":"","family":"Tong","given":"Duong Huu","non-dropping-particle":"","parse-names":false,"suffix":""},{"dropping-particle":"","family":"Uyen","given":"Bui Phuong","non-dropping-particle":"","parse-names":false,"suffix":""},{"dropping-particle":"","family":"Ngan","given":"Lu Kim","non-dropping-particle":"","parse-names":false,"suffix":""}],"container-title":"Heliyon","id":"ITEM-1","issue":"12","issued":{"date-parts":[["2022"]]},"page":"e12657","title":"The effectiveness of blended learning on students' academic achievement, self-study skills and learning attitudes: A quasi-experiment study in teaching the conventions for coordinates in the plane","type":"article-journal","volume":"8"},"uris":["http://www.mendeley.com/documents/?uuid=92d74b49-2123-4ff2-a18f-afaeae44d0c0"]}],"mendeley":{"formattedCitation":"(Tong, Uyen and Ngan, 2022)","plainTextFormattedCitation":"(Tong, Uyen and Ngan, 2022)","previouslyFormattedCitation":"(Tong, Uyen and Ngan, 2022)"},"properties":{"noteIndex":0},"schema":"https://github.com/citation-style-language/schema/raw/master/csl-citation.json"}</w:instrText>
      </w:r>
      <w:r w:rsidR="004951AF" w:rsidRPr="007222DE">
        <w:rPr>
          <w:rFonts w:ascii="Georgia" w:hAnsi="Georgia"/>
          <w:sz w:val="22"/>
          <w:szCs w:val="22"/>
        </w:rPr>
        <w:fldChar w:fldCharType="separate"/>
      </w:r>
      <w:r w:rsidR="004951AF" w:rsidRPr="007222DE">
        <w:rPr>
          <w:rFonts w:ascii="Georgia" w:hAnsi="Georgia"/>
          <w:noProof/>
          <w:sz w:val="22"/>
          <w:szCs w:val="22"/>
        </w:rPr>
        <w:t>(Tong, Uyen and Ngan, 2022)</w:t>
      </w:r>
      <w:r w:rsidR="004951AF" w:rsidRPr="007222DE">
        <w:rPr>
          <w:rFonts w:ascii="Georgia" w:hAnsi="Georgia"/>
          <w:sz w:val="22"/>
          <w:szCs w:val="22"/>
        </w:rPr>
        <w:fldChar w:fldCharType="end"/>
      </w:r>
      <w:r w:rsidRPr="007222DE">
        <w:rPr>
          <w:rFonts w:ascii="Georgia" w:hAnsi="Georgia"/>
          <w:sz w:val="22"/>
          <w:szCs w:val="22"/>
        </w:rPr>
        <w:t>.</w:t>
      </w:r>
    </w:p>
    <w:p w14:paraId="2ACFC04B" w14:textId="05DFC2F2"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 xml:space="preserve">Program </w:t>
      </w:r>
      <w:r w:rsidRPr="007222DE">
        <w:rPr>
          <w:rFonts w:ascii="Georgia" w:hAnsi="Georgia"/>
          <w:sz w:val="22"/>
          <w:szCs w:val="22"/>
        </w:rPr>
        <w:t>ini membuktikan bahwa pendidikan kesehatan di sekolah dapat berperan dalam menciptakan kesadaran kolektif mengenai isu kekerasan seksual, mempersiapkan siswa untuk lebih waspada, dan memberdayakan mereka dengan informasi serta langkah-langkah yang dapat mereka ambil untuk melindungi diri. Program ini juga dapat dikembangkan lebih lanjut, misalnya dengan melibatkan orang tua dan pihak sekolah untuk menciptakan lingkungan yang lebih aman bagi siswa di luar pendidikan formal.</w:t>
      </w:r>
      <w:r w:rsidRPr="007222DE">
        <w:rPr>
          <w:rFonts w:ascii="Georgia" w:hAnsi="Georgia"/>
          <w:sz w:val="22"/>
          <w:szCs w:val="22"/>
        </w:rPr>
        <w:t xml:space="preserve"> </w:t>
      </w:r>
      <w:r w:rsidRPr="007222DE">
        <w:rPr>
          <w:rFonts w:ascii="Georgia" w:hAnsi="Georgia"/>
          <w:sz w:val="22"/>
          <w:szCs w:val="22"/>
        </w:rPr>
        <w:t>Peningkatan ini, menunjukkan bahwa upaya pencegahan kekerasan seksual harus melibatkan berbagai pihak dan dilakukan secara menyeluruh di lingkungan sekolah</w:t>
      </w:r>
      <w:r w:rsidR="00125BE5" w:rsidRPr="007222DE">
        <w:rPr>
          <w:rFonts w:ascii="Georgia" w:hAnsi="Georgia"/>
          <w:sz w:val="22"/>
          <w:szCs w:val="22"/>
        </w:rPr>
        <w:t xml:space="preserve"> </w:t>
      </w:r>
      <w:r w:rsidR="00125BE5" w:rsidRPr="007222DE">
        <w:rPr>
          <w:rFonts w:ascii="Georgia" w:hAnsi="Georgia"/>
          <w:sz w:val="22"/>
          <w:szCs w:val="22"/>
        </w:rPr>
        <w:fldChar w:fldCharType="begin" w:fldLock="1"/>
      </w:r>
      <w:r w:rsidR="00125BE5" w:rsidRPr="007222DE">
        <w:rPr>
          <w:rFonts w:ascii="Georgia" w:hAnsi="Georgia"/>
          <w:sz w:val="22"/>
          <w:szCs w:val="22"/>
        </w:rPr>
        <w:instrText>ADDIN CSL_CITATION {"citationItems":[{"id":"ITEM-1","itemData":{"DOI":"10.3390/ijerph182010818","ISSN":"1660-4601 (Electronic)","PMID":"34682561","abstract":"CONTEXT: Health promotion programs generate healthy changes in the educational  community. However, not all of them meet the expected objectives due to multiple factors that affect their development, such as the teachers overload work, the lack of specific training, the lack of time to carry out health promotion activities, the lack of flexibility of the programs, and their non-inclusion in the training programs of the centers. OBJECTIVE: To know the scope of the strategies and programs that promote healthy habits among students in compulsory educational stages. DATA SOURCES: a systematic review of articles in English, using the Web of Science (WOS), Medline, and PsycINFO databases.","author":[{"dropping-particle":"","family":"Pérez-Jorge","given":"David","non-dropping-particle":"","parse-names":false,"suffix":""},{"dropping-particle":"","family":"González-Luis","given":"María Alejandra","non-dropping-particle":"","parse-names":false,"suffix":""},{"dropping-particle":"","family":"Rodríguez-Jiménez","given":"María Del Carmen","non-dropping-particle":"","parse-names":false,"suffix":""},{"dropping-particle":"","family":"Ariño-Mateo","given":"Eva","non-dropping-particle":"","parse-names":false,"suffix":""}],"container-title":"International journal of environmental research and public health","id":"ITEM-1","issue":"20","issued":{"date-parts":[["2021","10"]]},"language":"eng","publisher-place":"Switzerland","title":"Educational Programs for the Promotion of Health at School: A Systematic Review.","type":"article-journal","volume":"18"},"uris":["http://www.mendeley.com/documents/?uuid=c56d9a3b-72eb-4499-9f84-4f6730b73748"]}],"mendeley":{"formattedCitation":"(Pérez-Jorge &lt;i&gt;et al.&lt;/i&gt;, 2021)","plainTextFormattedCitation":"(Pérez-Jorge et al., 2021)","previouslyFormattedCitation":"(Pérez-Jorge &lt;i&gt;et al.&lt;/i&gt;, 2021)"},"properties":{"noteIndex":0},"schema":"https://github.com/citation-style-language/schema/raw/master/csl-citation.json"}</w:instrText>
      </w:r>
      <w:r w:rsidR="00125BE5" w:rsidRPr="007222DE">
        <w:rPr>
          <w:rFonts w:ascii="Georgia" w:hAnsi="Georgia"/>
          <w:sz w:val="22"/>
          <w:szCs w:val="22"/>
        </w:rPr>
        <w:fldChar w:fldCharType="separate"/>
      </w:r>
      <w:r w:rsidR="00125BE5" w:rsidRPr="007222DE">
        <w:rPr>
          <w:rFonts w:ascii="Georgia" w:hAnsi="Georgia"/>
          <w:noProof/>
          <w:sz w:val="22"/>
          <w:szCs w:val="22"/>
        </w:rPr>
        <w:t xml:space="preserve">(Pérez-Jorge </w:t>
      </w:r>
      <w:r w:rsidR="00125BE5" w:rsidRPr="007222DE">
        <w:rPr>
          <w:rFonts w:ascii="Georgia" w:hAnsi="Georgia"/>
          <w:i/>
          <w:noProof/>
          <w:sz w:val="22"/>
          <w:szCs w:val="22"/>
        </w:rPr>
        <w:t>et al.</w:t>
      </w:r>
      <w:r w:rsidR="00125BE5" w:rsidRPr="007222DE">
        <w:rPr>
          <w:rFonts w:ascii="Georgia" w:hAnsi="Georgia"/>
          <w:noProof/>
          <w:sz w:val="22"/>
          <w:szCs w:val="22"/>
        </w:rPr>
        <w:t>, 2021)</w:t>
      </w:r>
      <w:r w:rsidR="00125BE5" w:rsidRPr="007222DE">
        <w:rPr>
          <w:rFonts w:ascii="Georgia" w:hAnsi="Georgia"/>
          <w:sz w:val="22"/>
          <w:szCs w:val="22"/>
        </w:rPr>
        <w:fldChar w:fldCharType="end"/>
      </w:r>
      <w:r w:rsidRPr="007222DE">
        <w:rPr>
          <w:rFonts w:ascii="Georgia" w:hAnsi="Georgia"/>
          <w:sz w:val="22"/>
          <w:szCs w:val="22"/>
        </w:rPr>
        <w:t>. Program ini membuktikan bahwa pendekatan pendidikan kesehatan yang komprehensif dapat memberikan dampak positif yang besar, mendorong sekolah-sekolah untuk menjadikan pendidikan ini sebagai agenda tahunan yang berkelanjutan</w:t>
      </w:r>
      <w:r w:rsidR="00125BE5" w:rsidRPr="007222DE">
        <w:rPr>
          <w:rFonts w:ascii="Georgia" w:hAnsi="Georgia"/>
          <w:sz w:val="22"/>
          <w:szCs w:val="22"/>
        </w:rPr>
        <w:t xml:space="preserve"> </w:t>
      </w:r>
      <w:r w:rsidRPr="007222DE">
        <w:rPr>
          <w:rFonts w:ascii="Georgia" w:hAnsi="Georgia"/>
          <w:sz w:val="22"/>
          <w:szCs w:val="22"/>
        </w:rPr>
        <w:t>.</w:t>
      </w:r>
    </w:p>
    <w:p w14:paraId="5C7C5625" w14:textId="77777777" w:rsidR="008412D2" w:rsidRPr="007222DE" w:rsidRDefault="008412D2" w:rsidP="00CE10D1">
      <w:pPr>
        <w:pStyle w:val="Title"/>
        <w:spacing w:before="0"/>
        <w:rPr>
          <w:rFonts w:ascii="Georgia" w:hAnsi="Georgia"/>
          <w:sz w:val="22"/>
          <w:szCs w:val="22"/>
        </w:rPr>
      </w:pPr>
    </w:p>
    <w:p w14:paraId="1CD7D3E5" w14:textId="77777777" w:rsidR="00A6467A" w:rsidRDefault="00A6467A" w:rsidP="00CE10D1">
      <w:pPr>
        <w:pStyle w:val="Title"/>
        <w:spacing w:before="0"/>
        <w:rPr>
          <w:rFonts w:ascii="Georgia" w:hAnsi="Georgia"/>
          <w:sz w:val="22"/>
          <w:szCs w:val="22"/>
        </w:rPr>
      </w:pPr>
    </w:p>
    <w:p w14:paraId="617B74DB" w14:textId="77777777" w:rsidR="00A6467A" w:rsidRDefault="00A6467A" w:rsidP="00CE10D1">
      <w:pPr>
        <w:pStyle w:val="Title"/>
        <w:spacing w:before="0"/>
        <w:rPr>
          <w:rFonts w:ascii="Georgia" w:hAnsi="Georgia"/>
          <w:sz w:val="22"/>
          <w:szCs w:val="22"/>
        </w:rPr>
      </w:pPr>
    </w:p>
    <w:p w14:paraId="012AD9BE" w14:textId="77777777" w:rsidR="00A6467A" w:rsidRDefault="00A6467A" w:rsidP="00CE10D1">
      <w:pPr>
        <w:pStyle w:val="Title"/>
        <w:spacing w:before="0"/>
        <w:rPr>
          <w:rFonts w:ascii="Georgia" w:hAnsi="Georgia"/>
          <w:sz w:val="22"/>
          <w:szCs w:val="22"/>
        </w:rPr>
      </w:pPr>
    </w:p>
    <w:p w14:paraId="0856EA1C" w14:textId="77777777" w:rsidR="00A6467A" w:rsidRDefault="00A6467A" w:rsidP="00CE10D1">
      <w:pPr>
        <w:pStyle w:val="Title"/>
        <w:spacing w:before="0"/>
        <w:rPr>
          <w:rFonts w:ascii="Georgia" w:hAnsi="Georgia"/>
          <w:sz w:val="22"/>
          <w:szCs w:val="22"/>
        </w:rPr>
      </w:pPr>
    </w:p>
    <w:p w14:paraId="3F71BB09" w14:textId="77777777" w:rsidR="00A6467A" w:rsidRDefault="00A6467A" w:rsidP="00CE10D1">
      <w:pPr>
        <w:pStyle w:val="Title"/>
        <w:spacing w:before="0"/>
        <w:rPr>
          <w:rFonts w:ascii="Georgia" w:hAnsi="Georgia"/>
          <w:sz w:val="22"/>
          <w:szCs w:val="22"/>
        </w:rPr>
      </w:pPr>
    </w:p>
    <w:p w14:paraId="595124E2" w14:textId="77777777" w:rsidR="00A6467A" w:rsidRDefault="00A6467A" w:rsidP="00CE10D1">
      <w:pPr>
        <w:pStyle w:val="Title"/>
        <w:spacing w:before="0"/>
        <w:rPr>
          <w:rFonts w:ascii="Georgia" w:hAnsi="Georgia"/>
          <w:sz w:val="22"/>
          <w:szCs w:val="22"/>
        </w:rPr>
      </w:pPr>
    </w:p>
    <w:p w14:paraId="50153D48" w14:textId="77777777" w:rsidR="00A6467A" w:rsidRDefault="00A6467A" w:rsidP="00CE10D1">
      <w:pPr>
        <w:pStyle w:val="Title"/>
        <w:spacing w:before="0"/>
        <w:rPr>
          <w:rFonts w:ascii="Georgia" w:hAnsi="Georgia"/>
          <w:sz w:val="22"/>
          <w:szCs w:val="22"/>
        </w:rPr>
      </w:pPr>
    </w:p>
    <w:p w14:paraId="063589E0" w14:textId="77777777" w:rsidR="00A6467A" w:rsidRDefault="00A6467A" w:rsidP="00CE10D1">
      <w:pPr>
        <w:pStyle w:val="Title"/>
        <w:spacing w:before="0"/>
        <w:rPr>
          <w:rFonts w:ascii="Georgia" w:hAnsi="Georgia"/>
          <w:sz w:val="22"/>
          <w:szCs w:val="22"/>
        </w:rPr>
      </w:pPr>
    </w:p>
    <w:p w14:paraId="73FFFBDC" w14:textId="77777777" w:rsidR="00A6467A" w:rsidRDefault="00A6467A" w:rsidP="00CE10D1">
      <w:pPr>
        <w:pStyle w:val="Title"/>
        <w:spacing w:before="0"/>
        <w:rPr>
          <w:rFonts w:ascii="Georgia" w:hAnsi="Georgia"/>
          <w:sz w:val="22"/>
          <w:szCs w:val="22"/>
        </w:rPr>
      </w:pPr>
    </w:p>
    <w:p w14:paraId="2075C41B" w14:textId="77777777" w:rsidR="00A6467A" w:rsidRDefault="00A6467A" w:rsidP="00CE10D1">
      <w:pPr>
        <w:pStyle w:val="Title"/>
        <w:spacing w:before="0"/>
        <w:rPr>
          <w:rFonts w:ascii="Georgia" w:hAnsi="Georgia"/>
          <w:sz w:val="22"/>
          <w:szCs w:val="22"/>
        </w:rPr>
      </w:pPr>
    </w:p>
    <w:p w14:paraId="172DA3A2" w14:textId="77777777" w:rsidR="00A6467A" w:rsidRDefault="00A6467A" w:rsidP="00CE10D1">
      <w:pPr>
        <w:pStyle w:val="Title"/>
        <w:spacing w:before="0"/>
        <w:rPr>
          <w:rFonts w:ascii="Georgia" w:hAnsi="Georgia"/>
          <w:sz w:val="22"/>
          <w:szCs w:val="22"/>
        </w:rPr>
      </w:pPr>
    </w:p>
    <w:p w14:paraId="77EF7CBE" w14:textId="77777777" w:rsidR="00A6467A" w:rsidRDefault="00A6467A" w:rsidP="00CE10D1">
      <w:pPr>
        <w:pStyle w:val="Title"/>
        <w:spacing w:before="0"/>
        <w:rPr>
          <w:rFonts w:ascii="Georgia" w:hAnsi="Georgia"/>
          <w:sz w:val="22"/>
          <w:szCs w:val="22"/>
        </w:rPr>
      </w:pPr>
    </w:p>
    <w:p w14:paraId="1CE208B7" w14:textId="77777777" w:rsidR="00A6467A" w:rsidRDefault="00A6467A" w:rsidP="00CE10D1">
      <w:pPr>
        <w:pStyle w:val="Title"/>
        <w:spacing w:before="0"/>
        <w:rPr>
          <w:rFonts w:ascii="Georgia" w:hAnsi="Georgia"/>
          <w:sz w:val="22"/>
          <w:szCs w:val="22"/>
        </w:rPr>
      </w:pPr>
    </w:p>
    <w:p w14:paraId="767688DE" w14:textId="77777777" w:rsidR="00A6467A" w:rsidRDefault="00A6467A" w:rsidP="00CE10D1">
      <w:pPr>
        <w:pStyle w:val="Title"/>
        <w:spacing w:before="0"/>
        <w:rPr>
          <w:rFonts w:ascii="Georgia" w:hAnsi="Georgia"/>
          <w:sz w:val="22"/>
          <w:szCs w:val="22"/>
        </w:rPr>
      </w:pPr>
    </w:p>
    <w:p w14:paraId="78B316CB" w14:textId="2919E68A" w:rsidR="008412D2" w:rsidRPr="007222DE" w:rsidRDefault="008412D2" w:rsidP="00CE10D1">
      <w:pPr>
        <w:pStyle w:val="Title"/>
        <w:spacing w:before="0"/>
        <w:rPr>
          <w:rFonts w:ascii="Georgia" w:hAnsi="Georgia"/>
          <w:sz w:val="22"/>
          <w:szCs w:val="22"/>
        </w:rPr>
      </w:pPr>
      <w:r w:rsidRPr="007222DE">
        <w:rPr>
          <w:rFonts w:ascii="Georgia" w:hAnsi="Georgia"/>
          <w:sz w:val="22"/>
          <w:szCs w:val="22"/>
        </w:rPr>
        <w:lastRenderedPageBreak/>
        <w:t xml:space="preserve">Tabel </w:t>
      </w:r>
      <w:r w:rsidR="00A22238">
        <w:rPr>
          <w:rFonts w:ascii="Georgia" w:hAnsi="Georgia"/>
          <w:sz w:val="22"/>
          <w:szCs w:val="22"/>
        </w:rPr>
        <w:t>2</w:t>
      </w:r>
      <w:r w:rsidRPr="007222DE">
        <w:rPr>
          <w:rFonts w:ascii="Georgia" w:hAnsi="Georgia"/>
          <w:sz w:val="22"/>
          <w:szCs w:val="22"/>
        </w:rPr>
        <w:br/>
        <w:t>Perbedaan Sikap Tentang Pencegahan Kekerasan Seksual sebelum dan Sesudah Diberikan Pendidikan Kesehatan pada Siswa SMP 12</w:t>
      </w:r>
    </w:p>
    <w:p w14:paraId="69859CA6" w14:textId="77777777" w:rsidR="008412D2" w:rsidRPr="007222DE" w:rsidRDefault="008412D2" w:rsidP="00CE10D1">
      <w:pPr>
        <w:pStyle w:val="Title"/>
        <w:spacing w:before="0"/>
        <w:rPr>
          <w:rFonts w:ascii="Georgia" w:hAnsi="Georgia"/>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09"/>
        <w:gridCol w:w="299"/>
        <w:gridCol w:w="630"/>
        <w:gridCol w:w="803"/>
        <w:gridCol w:w="600"/>
        <w:gridCol w:w="640"/>
      </w:tblGrid>
      <w:tr w:rsidR="003940B9" w:rsidRPr="007222DE" w14:paraId="3B65AC7C" w14:textId="77777777" w:rsidTr="008412D2">
        <w:trPr>
          <w:tblHeader/>
          <w:tblCellSpacing w:w="15" w:type="dxa"/>
        </w:trPr>
        <w:tc>
          <w:tcPr>
            <w:tcW w:w="0" w:type="auto"/>
            <w:vAlign w:val="center"/>
            <w:hideMark/>
          </w:tcPr>
          <w:p w14:paraId="082D1BE1" w14:textId="77777777" w:rsidR="008412D2" w:rsidRPr="007222DE" w:rsidRDefault="008412D2" w:rsidP="008412D2">
            <w:pPr>
              <w:widowControl/>
              <w:autoSpaceDE/>
              <w:autoSpaceDN/>
              <w:jc w:val="center"/>
              <w:rPr>
                <w:rFonts w:ascii="Georgia" w:hAnsi="Georgia"/>
                <w:b/>
                <w:bCs/>
              </w:rPr>
            </w:pPr>
            <w:r w:rsidRPr="007222DE">
              <w:rPr>
                <w:rFonts w:ascii="Georgia" w:hAnsi="Georgia"/>
                <w:b/>
                <w:bCs/>
              </w:rPr>
              <w:t>Variabel</w:t>
            </w:r>
          </w:p>
        </w:tc>
        <w:tc>
          <w:tcPr>
            <w:tcW w:w="0" w:type="auto"/>
            <w:vAlign w:val="center"/>
            <w:hideMark/>
          </w:tcPr>
          <w:p w14:paraId="459339C4" w14:textId="77777777" w:rsidR="008412D2" w:rsidRPr="007222DE" w:rsidRDefault="008412D2" w:rsidP="008412D2">
            <w:pPr>
              <w:widowControl/>
              <w:autoSpaceDE/>
              <w:autoSpaceDN/>
              <w:jc w:val="center"/>
              <w:rPr>
                <w:rFonts w:ascii="Georgia" w:hAnsi="Georgia"/>
                <w:b/>
                <w:bCs/>
              </w:rPr>
            </w:pPr>
            <w:r w:rsidRPr="007222DE">
              <w:rPr>
                <w:rFonts w:ascii="Georgia" w:hAnsi="Georgia"/>
                <w:b/>
                <w:bCs/>
              </w:rPr>
              <w:t>n</w:t>
            </w:r>
          </w:p>
        </w:tc>
        <w:tc>
          <w:tcPr>
            <w:tcW w:w="0" w:type="auto"/>
            <w:vAlign w:val="center"/>
            <w:hideMark/>
          </w:tcPr>
          <w:p w14:paraId="3C1BE26E" w14:textId="77777777" w:rsidR="008412D2" w:rsidRPr="007222DE" w:rsidRDefault="008412D2" w:rsidP="008412D2">
            <w:pPr>
              <w:widowControl/>
              <w:autoSpaceDE/>
              <w:autoSpaceDN/>
              <w:jc w:val="center"/>
              <w:rPr>
                <w:rFonts w:ascii="Georgia" w:hAnsi="Georgia"/>
                <w:b/>
                <w:bCs/>
              </w:rPr>
            </w:pPr>
            <w:r w:rsidRPr="007222DE">
              <w:rPr>
                <w:rFonts w:ascii="Georgia" w:hAnsi="Georgia"/>
                <w:b/>
                <w:bCs/>
              </w:rPr>
              <w:t>Mean</w:t>
            </w:r>
          </w:p>
        </w:tc>
        <w:tc>
          <w:tcPr>
            <w:tcW w:w="0" w:type="auto"/>
            <w:vAlign w:val="center"/>
            <w:hideMark/>
          </w:tcPr>
          <w:p w14:paraId="14CA61B7" w14:textId="77777777" w:rsidR="008412D2" w:rsidRPr="007222DE" w:rsidRDefault="008412D2" w:rsidP="008412D2">
            <w:pPr>
              <w:widowControl/>
              <w:autoSpaceDE/>
              <w:autoSpaceDN/>
              <w:jc w:val="center"/>
              <w:rPr>
                <w:rFonts w:ascii="Georgia" w:hAnsi="Georgia"/>
                <w:b/>
                <w:bCs/>
              </w:rPr>
            </w:pPr>
            <w:r w:rsidRPr="007222DE">
              <w:rPr>
                <w:rFonts w:ascii="Georgia" w:hAnsi="Georgia"/>
                <w:b/>
                <w:bCs/>
              </w:rPr>
              <w:t>Std. Deviasi</w:t>
            </w:r>
          </w:p>
        </w:tc>
        <w:tc>
          <w:tcPr>
            <w:tcW w:w="0" w:type="auto"/>
            <w:vAlign w:val="center"/>
            <w:hideMark/>
          </w:tcPr>
          <w:p w14:paraId="33137575" w14:textId="77777777" w:rsidR="008412D2" w:rsidRPr="007222DE" w:rsidRDefault="008412D2" w:rsidP="008412D2">
            <w:pPr>
              <w:widowControl/>
              <w:autoSpaceDE/>
              <w:autoSpaceDN/>
              <w:jc w:val="center"/>
              <w:rPr>
                <w:rFonts w:ascii="Georgia" w:hAnsi="Georgia"/>
                <w:b/>
                <w:bCs/>
              </w:rPr>
            </w:pPr>
            <w:r w:rsidRPr="007222DE">
              <w:rPr>
                <w:rFonts w:ascii="Georgia" w:hAnsi="Georgia"/>
                <w:b/>
                <w:bCs/>
              </w:rPr>
              <w:t>p</w:t>
            </w:r>
          </w:p>
        </w:tc>
        <w:tc>
          <w:tcPr>
            <w:tcW w:w="0" w:type="auto"/>
            <w:vAlign w:val="center"/>
            <w:hideMark/>
          </w:tcPr>
          <w:p w14:paraId="0C8DEA64" w14:textId="77777777" w:rsidR="008412D2" w:rsidRPr="007222DE" w:rsidRDefault="008412D2" w:rsidP="008412D2">
            <w:pPr>
              <w:widowControl/>
              <w:autoSpaceDE/>
              <w:autoSpaceDN/>
              <w:jc w:val="center"/>
              <w:rPr>
                <w:rFonts w:ascii="Georgia" w:hAnsi="Georgia"/>
                <w:b/>
                <w:bCs/>
              </w:rPr>
            </w:pPr>
            <w:r w:rsidRPr="007222DE">
              <w:rPr>
                <w:rFonts w:ascii="Georgia" w:hAnsi="Georgia"/>
                <w:b/>
                <w:bCs/>
              </w:rPr>
              <w:t>t</w:t>
            </w:r>
          </w:p>
        </w:tc>
      </w:tr>
      <w:tr w:rsidR="003940B9" w:rsidRPr="007222DE" w14:paraId="2ECD5FC4" w14:textId="77777777" w:rsidTr="008412D2">
        <w:trPr>
          <w:tblCellSpacing w:w="15" w:type="dxa"/>
        </w:trPr>
        <w:tc>
          <w:tcPr>
            <w:tcW w:w="0" w:type="auto"/>
            <w:vAlign w:val="center"/>
            <w:hideMark/>
          </w:tcPr>
          <w:p w14:paraId="4696E6B1" w14:textId="77777777" w:rsidR="008412D2" w:rsidRPr="007222DE" w:rsidRDefault="008412D2" w:rsidP="008412D2">
            <w:pPr>
              <w:widowControl/>
              <w:autoSpaceDE/>
              <w:autoSpaceDN/>
              <w:rPr>
                <w:rFonts w:ascii="Georgia" w:hAnsi="Georgia"/>
              </w:rPr>
            </w:pPr>
            <w:r w:rsidRPr="007222DE">
              <w:rPr>
                <w:rFonts w:ascii="Georgia" w:hAnsi="Georgia"/>
              </w:rPr>
              <w:t>Sikap Tentang Pencegahan Kekerasan Seksual sebelum Pendidikan Kesehatan</w:t>
            </w:r>
          </w:p>
        </w:tc>
        <w:tc>
          <w:tcPr>
            <w:tcW w:w="0" w:type="auto"/>
            <w:vAlign w:val="center"/>
            <w:hideMark/>
          </w:tcPr>
          <w:p w14:paraId="261CDF61" w14:textId="77777777" w:rsidR="008412D2" w:rsidRPr="007222DE" w:rsidRDefault="008412D2" w:rsidP="008412D2">
            <w:pPr>
              <w:widowControl/>
              <w:autoSpaceDE/>
              <w:autoSpaceDN/>
              <w:rPr>
                <w:rFonts w:ascii="Georgia" w:hAnsi="Georgia"/>
              </w:rPr>
            </w:pPr>
            <w:r w:rsidRPr="007222DE">
              <w:rPr>
                <w:rFonts w:ascii="Georgia" w:hAnsi="Georgia"/>
              </w:rPr>
              <w:t>50</w:t>
            </w:r>
          </w:p>
        </w:tc>
        <w:tc>
          <w:tcPr>
            <w:tcW w:w="0" w:type="auto"/>
            <w:vAlign w:val="center"/>
            <w:hideMark/>
          </w:tcPr>
          <w:p w14:paraId="3CB2663A" w14:textId="77777777" w:rsidR="008412D2" w:rsidRPr="007222DE" w:rsidRDefault="008412D2" w:rsidP="008412D2">
            <w:pPr>
              <w:widowControl/>
              <w:autoSpaceDE/>
              <w:autoSpaceDN/>
              <w:rPr>
                <w:rFonts w:ascii="Georgia" w:hAnsi="Georgia"/>
              </w:rPr>
            </w:pPr>
            <w:r w:rsidRPr="007222DE">
              <w:rPr>
                <w:rFonts w:ascii="Georgia" w:hAnsi="Georgia"/>
              </w:rPr>
              <w:t>19.00</w:t>
            </w:r>
          </w:p>
        </w:tc>
        <w:tc>
          <w:tcPr>
            <w:tcW w:w="0" w:type="auto"/>
            <w:vAlign w:val="center"/>
            <w:hideMark/>
          </w:tcPr>
          <w:p w14:paraId="23089EAE" w14:textId="77777777" w:rsidR="008412D2" w:rsidRPr="007222DE" w:rsidRDefault="008412D2" w:rsidP="008412D2">
            <w:pPr>
              <w:widowControl/>
              <w:autoSpaceDE/>
              <w:autoSpaceDN/>
              <w:rPr>
                <w:rFonts w:ascii="Georgia" w:hAnsi="Georgia"/>
              </w:rPr>
            </w:pPr>
            <w:r w:rsidRPr="007222DE">
              <w:rPr>
                <w:rFonts w:ascii="Georgia" w:hAnsi="Georgia"/>
              </w:rPr>
              <w:t>2.950</w:t>
            </w:r>
          </w:p>
        </w:tc>
        <w:tc>
          <w:tcPr>
            <w:tcW w:w="0" w:type="auto"/>
            <w:vAlign w:val="center"/>
            <w:hideMark/>
          </w:tcPr>
          <w:p w14:paraId="1CBC4A5C" w14:textId="77777777" w:rsidR="008412D2" w:rsidRPr="007222DE" w:rsidRDefault="008412D2" w:rsidP="008412D2">
            <w:pPr>
              <w:widowControl/>
              <w:autoSpaceDE/>
              <w:autoSpaceDN/>
              <w:rPr>
                <w:rFonts w:ascii="Georgia" w:hAnsi="Georgia"/>
              </w:rPr>
            </w:pPr>
            <w:r w:rsidRPr="007222DE">
              <w:rPr>
                <w:rFonts w:ascii="Georgia" w:hAnsi="Georgia"/>
              </w:rPr>
              <w:t>0,000</w:t>
            </w:r>
          </w:p>
        </w:tc>
        <w:tc>
          <w:tcPr>
            <w:tcW w:w="0" w:type="auto"/>
            <w:vAlign w:val="center"/>
            <w:hideMark/>
          </w:tcPr>
          <w:p w14:paraId="7E7D7A65" w14:textId="77777777" w:rsidR="008412D2" w:rsidRPr="007222DE" w:rsidRDefault="008412D2" w:rsidP="008412D2">
            <w:pPr>
              <w:widowControl/>
              <w:autoSpaceDE/>
              <w:autoSpaceDN/>
              <w:rPr>
                <w:rFonts w:ascii="Georgia" w:hAnsi="Georgia"/>
              </w:rPr>
            </w:pPr>
            <w:r w:rsidRPr="007222DE">
              <w:rPr>
                <w:rFonts w:ascii="Georgia" w:hAnsi="Georgia"/>
              </w:rPr>
              <w:t>-14.752</w:t>
            </w:r>
          </w:p>
        </w:tc>
      </w:tr>
      <w:tr w:rsidR="00895256" w:rsidRPr="007222DE" w14:paraId="067A0350" w14:textId="77777777" w:rsidTr="008412D2">
        <w:trPr>
          <w:tblCellSpacing w:w="15" w:type="dxa"/>
        </w:trPr>
        <w:tc>
          <w:tcPr>
            <w:tcW w:w="0" w:type="auto"/>
            <w:vAlign w:val="center"/>
            <w:hideMark/>
          </w:tcPr>
          <w:p w14:paraId="17DFAB69" w14:textId="77777777" w:rsidR="008412D2" w:rsidRPr="007222DE" w:rsidRDefault="008412D2" w:rsidP="008412D2">
            <w:pPr>
              <w:widowControl/>
              <w:autoSpaceDE/>
              <w:autoSpaceDN/>
              <w:rPr>
                <w:rFonts w:ascii="Georgia" w:hAnsi="Georgia"/>
              </w:rPr>
            </w:pPr>
            <w:r w:rsidRPr="007222DE">
              <w:rPr>
                <w:rFonts w:ascii="Georgia" w:hAnsi="Georgia"/>
              </w:rPr>
              <w:t>Sikap Tentang Pencegahan Kekerasan Seksual sesudah Pendidikan Kesehatan</w:t>
            </w:r>
          </w:p>
        </w:tc>
        <w:tc>
          <w:tcPr>
            <w:tcW w:w="0" w:type="auto"/>
            <w:vAlign w:val="center"/>
            <w:hideMark/>
          </w:tcPr>
          <w:p w14:paraId="7ABFA060" w14:textId="77777777" w:rsidR="008412D2" w:rsidRPr="007222DE" w:rsidRDefault="008412D2" w:rsidP="008412D2">
            <w:pPr>
              <w:widowControl/>
              <w:autoSpaceDE/>
              <w:autoSpaceDN/>
              <w:rPr>
                <w:rFonts w:ascii="Georgia" w:hAnsi="Georgia"/>
              </w:rPr>
            </w:pPr>
            <w:r w:rsidRPr="007222DE">
              <w:rPr>
                <w:rFonts w:ascii="Georgia" w:hAnsi="Georgia"/>
              </w:rPr>
              <w:t>50</w:t>
            </w:r>
          </w:p>
        </w:tc>
        <w:tc>
          <w:tcPr>
            <w:tcW w:w="0" w:type="auto"/>
            <w:vAlign w:val="center"/>
            <w:hideMark/>
          </w:tcPr>
          <w:p w14:paraId="24787CC9" w14:textId="77777777" w:rsidR="008412D2" w:rsidRPr="007222DE" w:rsidRDefault="008412D2" w:rsidP="008412D2">
            <w:pPr>
              <w:widowControl/>
              <w:autoSpaceDE/>
              <w:autoSpaceDN/>
              <w:rPr>
                <w:rFonts w:ascii="Georgia" w:hAnsi="Georgia"/>
              </w:rPr>
            </w:pPr>
            <w:r w:rsidRPr="007222DE">
              <w:rPr>
                <w:rFonts w:ascii="Georgia" w:hAnsi="Georgia"/>
              </w:rPr>
              <w:t>25.90</w:t>
            </w:r>
          </w:p>
        </w:tc>
        <w:tc>
          <w:tcPr>
            <w:tcW w:w="0" w:type="auto"/>
            <w:vAlign w:val="center"/>
            <w:hideMark/>
          </w:tcPr>
          <w:p w14:paraId="3D57F2E0" w14:textId="77777777" w:rsidR="008412D2" w:rsidRPr="007222DE" w:rsidRDefault="008412D2" w:rsidP="008412D2">
            <w:pPr>
              <w:widowControl/>
              <w:autoSpaceDE/>
              <w:autoSpaceDN/>
              <w:rPr>
                <w:rFonts w:ascii="Georgia" w:hAnsi="Georgia"/>
              </w:rPr>
            </w:pPr>
            <w:r w:rsidRPr="007222DE">
              <w:rPr>
                <w:rFonts w:ascii="Georgia" w:hAnsi="Georgia"/>
              </w:rPr>
              <w:t>2.100</w:t>
            </w:r>
          </w:p>
        </w:tc>
        <w:tc>
          <w:tcPr>
            <w:tcW w:w="0" w:type="auto"/>
            <w:vAlign w:val="center"/>
            <w:hideMark/>
          </w:tcPr>
          <w:p w14:paraId="720D5CA1" w14:textId="77777777" w:rsidR="008412D2" w:rsidRPr="007222DE" w:rsidRDefault="008412D2" w:rsidP="008412D2">
            <w:pPr>
              <w:widowControl/>
              <w:autoSpaceDE/>
              <w:autoSpaceDN/>
              <w:rPr>
                <w:rFonts w:ascii="Georgia" w:hAnsi="Georgia"/>
              </w:rPr>
            </w:pPr>
          </w:p>
        </w:tc>
        <w:tc>
          <w:tcPr>
            <w:tcW w:w="0" w:type="auto"/>
            <w:vAlign w:val="center"/>
            <w:hideMark/>
          </w:tcPr>
          <w:p w14:paraId="05A783DA" w14:textId="77777777" w:rsidR="008412D2" w:rsidRPr="007222DE" w:rsidRDefault="008412D2" w:rsidP="008412D2">
            <w:pPr>
              <w:widowControl/>
              <w:autoSpaceDE/>
              <w:autoSpaceDN/>
              <w:rPr>
                <w:rFonts w:ascii="Georgia" w:hAnsi="Georgia"/>
              </w:rPr>
            </w:pPr>
          </w:p>
        </w:tc>
      </w:tr>
    </w:tbl>
    <w:p w14:paraId="7780AE75" w14:textId="45D78072" w:rsidR="008412D2" w:rsidRPr="007222DE" w:rsidRDefault="008412D2" w:rsidP="00CE10D1">
      <w:pPr>
        <w:pStyle w:val="Title"/>
        <w:spacing w:before="0"/>
        <w:rPr>
          <w:rFonts w:ascii="Georgia" w:hAnsi="Georgia"/>
          <w:sz w:val="22"/>
          <w:szCs w:val="22"/>
        </w:rPr>
      </w:pPr>
    </w:p>
    <w:p w14:paraId="310D4DAB" w14:textId="6D23936C" w:rsidR="008A0FC2" w:rsidRPr="007222DE" w:rsidRDefault="008A0FC2" w:rsidP="008A0FC2">
      <w:pPr>
        <w:pStyle w:val="BodyText"/>
        <w:ind w:left="90" w:right="116" w:firstLine="630"/>
        <w:jc w:val="both"/>
        <w:rPr>
          <w:rFonts w:ascii="Georgia" w:hAnsi="Georgia"/>
          <w:sz w:val="22"/>
          <w:szCs w:val="22"/>
        </w:rPr>
      </w:pPr>
      <w:r w:rsidRPr="007222DE">
        <w:rPr>
          <w:rFonts w:ascii="Georgia" w:hAnsi="Georgia"/>
          <w:sz w:val="22"/>
          <w:szCs w:val="22"/>
        </w:rPr>
        <w:t xml:space="preserve">Tabel </w:t>
      </w:r>
      <w:r w:rsidR="00A22238">
        <w:rPr>
          <w:rFonts w:ascii="Georgia" w:hAnsi="Georgia"/>
          <w:sz w:val="22"/>
          <w:szCs w:val="22"/>
        </w:rPr>
        <w:t>2</w:t>
      </w:r>
      <w:r w:rsidRPr="007222DE">
        <w:rPr>
          <w:rFonts w:ascii="Georgia" w:hAnsi="Georgia"/>
          <w:sz w:val="22"/>
          <w:szCs w:val="22"/>
        </w:rPr>
        <w:t xml:space="preserve"> menunjukkan adanya peningkatan signifikan dalam sikap siswa terhadap pencegahan kekerasan seksual setelah mengikuti pendidikan kesehatan. Pada awalnya, rata-rata sikap siswa tercatat sebesar 19,00, menunjukkan pemahaman yang masih terbatas dan cenderung pasif terhadap pentingnya tindakan pencegahan. Namun, setelah diberikan program pendidikan, rata-rata sikap meningkat menjadi 25,90. Nilai p sebesar 0,000 menandakan bahwa perubahan ini sangat signifikan secara statistik, sementara nilai t sebesar -14,752 menunjukkan bahwa intervensi memiliki efek yang substansial terhadap sikap siswa.</w:t>
      </w:r>
    </w:p>
    <w:p w14:paraId="66697162" w14:textId="77777777" w:rsidR="008A0FC2" w:rsidRPr="007222DE" w:rsidRDefault="008A0FC2" w:rsidP="008A0FC2">
      <w:pPr>
        <w:pStyle w:val="BodyText"/>
        <w:ind w:left="90" w:right="116" w:firstLine="630"/>
        <w:jc w:val="both"/>
        <w:rPr>
          <w:rFonts w:ascii="Georgia" w:hAnsi="Georgia"/>
          <w:sz w:val="22"/>
          <w:szCs w:val="22"/>
        </w:rPr>
      </w:pPr>
      <w:r w:rsidRPr="007222DE">
        <w:rPr>
          <w:rFonts w:ascii="Georgia" w:hAnsi="Georgia"/>
          <w:sz w:val="22"/>
          <w:szCs w:val="22"/>
        </w:rPr>
        <w:t xml:space="preserve">Peningkatan sikap ini </w:t>
      </w:r>
      <w:r w:rsidRPr="007222DE">
        <w:rPr>
          <w:rFonts w:ascii="Georgia" w:hAnsi="Georgia"/>
          <w:sz w:val="22"/>
          <w:szCs w:val="22"/>
        </w:rPr>
        <w:t>menggambarkan bahwa siswa tidak hanya menerima informasi, tetapi juga membangun pandangan yang lebih positif dan proaktif terhadap pencegahan kekerasan seksual. Sikap yang lebih positif ini mencerminkan kesiapan siswa untuk mengambil langkah-langkah yang diperlukan guna melindungi diri mereka dan orang lain dari risiko kekerasan seksual. Program pendidikan kesehatan yang dilaksanakan berhasil menumbuhkan keyakinan dan kesadaran diri pada siswa, yang merupakan komponen penting dalam pembentukan sikap yang mendukung pencegahan.</w:t>
      </w:r>
    </w:p>
    <w:p w14:paraId="762FBBC0" w14:textId="5476884E" w:rsidR="008A0FC2" w:rsidRPr="007222DE" w:rsidRDefault="008A0FC2" w:rsidP="008A0FC2">
      <w:pPr>
        <w:pStyle w:val="BodyText"/>
        <w:ind w:left="90" w:right="116" w:firstLine="630"/>
        <w:jc w:val="both"/>
        <w:rPr>
          <w:rFonts w:ascii="Georgia" w:hAnsi="Georgia"/>
          <w:sz w:val="22"/>
          <w:szCs w:val="22"/>
        </w:rPr>
      </w:pPr>
      <w:r w:rsidRPr="007222DE">
        <w:rPr>
          <w:rFonts w:ascii="Georgia" w:hAnsi="Georgia"/>
          <w:sz w:val="22"/>
          <w:szCs w:val="22"/>
        </w:rPr>
        <w:t>Hasil ini juga menunjukkan efektivitas metode pembelajaran yang diterapkan, di mana siswa tidak hanya memperoleh pengetahuan melalui ceramah, tetapi juga aktif terlibat dalam kegiatan seperti diskusi kelompok dan simulasi. Diskusi kelompok memberikan ruang bagi siswa untuk saling bertukar pandangan dan pengalaman, sehingga mereka dapat memahami peran penting masing-masing dalam mencegah kekerasan seksual. Dengan simulasi, siswa berlatih mengenali situasi berisiko dan mempraktikkan cara meresponsnya, yang memperkuat pemahaman mereka akan tindakan pencegahan yang perlu diambil</w:t>
      </w:r>
      <w:r w:rsidR="00125BE5" w:rsidRPr="007222DE">
        <w:rPr>
          <w:rFonts w:ascii="Georgia" w:hAnsi="Georgia"/>
          <w:sz w:val="22"/>
          <w:szCs w:val="22"/>
        </w:rPr>
        <w:t xml:space="preserve"> </w:t>
      </w:r>
      <w:r w:rsidR="00125BE5" w:rsidRPr="007222DE">
        <w:rPr>
          <w:rFonts w:ascii="Georgia" w:hAnsi="Georgia"/>
          <w:sz w:val="22"/>
          <w:szCs w:val="22"/>
        </w:rPr>
        <w:fldChar w:fldCharType="begin" w:fldLock="1"/>
      </w:r>
      <w:r w:rsidR="00125BE5" w:rsidRPr="007222DE">
        <w:rPr>
          <w:rFonts w:ascii="Georgia" w:hAnsi="Georgia"/>
          <w:sz w:val="22"/>
          <w:szCs w:val="22"/>
        </w:rPr>
        <w:instrText>ADDIN CSL_CITATION {"citationItems":[{"id":"ITEM-1","itemData":{"DOI":"10.1108/JRIT-06-2018-0013","ISBN":"0620180013","ISSN":"23977604","abstract":"Purpose: The purpose of this paper is to evaluate the effectiveness of role playing as an applied learning technique for enhanced classroom experiences as compared to traditional lecture methods. Design/methodology/approach: This study uses the pre-test/post-test design to conduct experiments with several control and experimental groups. Subjects are graduate students in an MBA program at a private, non-profit university in a traditional classroom setting. Findings: Students in the experimental group gained significantly more knowledge (post-test minus pre-test scores) – 45 percent higher – through participation in the role playing exercise as compared to the control group. Research limitations/implications: This study represents only a single educational discipline explored using a single role playing learning activity. Impacts on the long-term retention of the knowledge should be studied further. Practical implications: Educators should enhance their classroom experience with more applied learning activities such as role playing in order to increase knowledge gain and potentially longer knowledge retention. Originality/value: This study uses a customized role playing activity within a business curriculum as one of many applied learning techniques. The value to students was shown by significantly higher gain in knowledge while simultaneously enhancing their enjoyment of the classroom experience to potentially encourage further lifelong learning.","author":[{"dropping-particle":"","family":"Acharya","given":"Harneel","non-dropping-particle":"","parse-names":false,"suffix":""},{"dropping-particle":"","family":"Reddy","given":"Rakesh","non-dropping-particle":"","parse-names":false,"suffix":""},{"dropping-particle":"","family":"Hussein","given":"Ahmed","non-dropping-particle":"","parse-names":false,"suffix":""},{"dropping-particle":"","family":"Bagga","given":"Jaspreet","non-dropping-particle":"","parse-names":false,"suffix":""},{"dropping-particle":"","family":"Pettit","given":"Timothy","non-dropping-particle":"","parse-names":false,"suffix":""}],"container-title":"Journal of Research in Innovative Teaching and Learning","id":"ITEM-1","issue":"3","issued":{"date-parts":[["2019"]]},"page":"295-310","title":"The effectiveness of applied learning: an empirical evaluation using role playing in the classroom","type":"article-journal","volume":"12"},"uris":["http://www.mendeley.com/documents/?uuid=5ae7276f-c3af-4c18-a03e-79a71debec7d"]}],"mendeley":{"formattedCitation":"(Acharya &lt;i&gt;et al.&lt;/i&gt;, 2019)","plainTextFormattedCitation":"(Acharya et al., 2019)","previouslyFormattedCitation":"(Acharya &lt;i&gt;et al.&lt;/i&gt;, 2019)"},"properties":{"noteIndex":0},"schema":"https://github.com/citation-style-language/schema/raw/master/csl-citation.json"}</w:instrText>
      </w:r>
      <w:r w:rsidR="00125BE5" w:rsidRPr="007222DE">
        <w:rPr>
          <w:rFonts w:ascii="Georgia" w:hAnsi="Georgia"/>
          <w:sz w:val="22"/>
          <w:szCs w:val="22"/>
        </w:rPr>
        <w:fldChar w:fldCharType="separate"/>
      </w:r>
      <w:r w:rsidR="00125BE5" w:rsidRPr="007222DE">
        <w:rPr>
          <w:rFonts w:ascii="Georgia" w:hAnsi="Georgia"/>
          <w:noProof/>
          <w:sz w:val="22"/>
          <w:szCs w:val="22"/>
        </w:rPr>
        <w:t xml:space="preserve">(Acharya </w:t>
      </w:r>
      <w:r w:rsidR="00125BE5" w:rsidRPr="007222DE">
        <w:rPr>
          <w:rFonts w:ascii="Georgia" w:hAnsi="Georgia"/>
          <w:i/>
          <w:noProof/>
          <w:sz w:val="22"/>
          <w:szCs w:val="22"/>
        </w:rPr>
        <w:t>et al.</w:t>
      </w:r>
      <w:r w:rsidR="00125BE5" w:rsidRPr="007222DE">
        <w:rPr>
          <w:rFonts w:ascii="Georgia" w:hAnsi="Georgia"/>
          <w:noProof/>
          <w:sz w:val="22"/>
          <w:szCs w:val="22"/>
        </w:rPr>
        <w:t>, 2019)</w:t>
      </w:r>
      <w:r w:rsidR="00125BE5" w:rsidRPr="007222DE">
        <w:rPr>
          <w:rFonts w:ascii="Georgia" w:hAnsi="Georgia"/>
          <w:sz w:val="22"/>
          <w:szCs w:val="22"/>
        </w:rPr>
        <w:fldChar w:fldCharType="end"/>
      </w:r>
      <w:r w:rsidRPr="007222DE">
        <w:rPr>
          <w:rFonts w:ascii="Georgia" w:hAnsi="Georgia"/>
          <w:sz w:val="22"/>
          <w:szCs w:val="22"/>
        </w:rPr>
        <w:t>.</w:t>
      </w:r>
    </w:p>
    <w:p w14:paraId="3B8C1626" w14:textId="621F892F" w:rsidR="008A0FC2" w:rsidRPr="007222DE" w:rsidRDefault="008A0FC2" w:rsidP="008A0FC2">
      <w:pPr>
        <w:pStyle w:val="BodyText"/>
        <w:ind w:left="90" w:right="116" w:firstLine="630"/>
        <w:jc w:val="both"/>
        <w:rPr>
          <w:rFonts w:ascii="Georgia" w:hAnsi="Georgia"/>
          <w:sz w:val="22"/>
          <w:szCs w:val="22"/>
        </w:rPr>
      </w:pPr>
      <w:r w:rsidRPr="007222DE">
        <w:rPr>
          <w:rFonts w:ascii="Georgia" w:hAnsi="Georgia"/>
          <w:sz w:val="22"/>
          <w:szCs w:val="22"/>
        </w:rPr>
        <w:t>Keberhasilan pendidikan kesehatan dalam mengubah sikap siswa ini membuktikan bahwa pendidikan yang disampaikan secara sistematis dan interaktif memiliki potensi besar dalam membentuk pandangan yang kuat mengenai topik sensitif seperti kekerasan seksual. Program ini menanamkan sikap waspada pada siswa dan mendorong mereka untuk bersikap terbuka dalam membicarakan isu kekerasan seksual, yang sering kali masih dianggap tabu dalam masyarakat.</w:t>
      </w:r>
      <w:r w:rsidR="004951AF" w:rsidRPr="007222DE">
        <w:rPr>
          <w:rFonts w:ascii="Georgia" w:hAnsi="Georgia"/>
          <w:sz w:val="22"/>
          <w:szCs w:val="22"/>
        </w:rPr>
        <w:t xml:space="preserve"> </w:t>
      </w:r>
      <w:r w:rsidRPr="007222DE">
        <w:rPr>
          <w:rFonts w:ascii="Georgia" w:hAnsi="Georgia"/>
          <w:sz w:val="22"/>
          <w:szCs w:val="22"/>
        </w:rPr>
        <w:t xml:space="preserve">Peningkatan sikap juga dapat dilihat sebagai upaya untuk memperkuat nilai-nilai seperti rasa hormat terhadap hak-hak pribadi orang lain dan keberanian untuk bertindak dalam situasi yang berpotensi berbahaya. Sikap yang </w:t>
      </w:r>
      <w:r w:rsidRPr="007222DE">
        <w:rPr>
          <w:rFonts w:ascii="Georgia" w:hAnsi="Georgia"/>
          <w:sz w:val="22"/>
          <w:szCs w:val="22"/>
        </w:rPr>
        <w:lastRenderedPageBreak/>
        <w:t>berkembang ini merupakan dasar penting bagi siswa dalam menjalani kehidupan sosial mereka, di mana mereka akan lebih peka terhadap tanda-tanda kekerasan dan lebih berani untuk mencegahnya</w:t>
      </w:r>
      <w:r w:rsidR="004C6098" w:rsidRPr="007222DE">
        <w:rPr>
          <w:rFonts w:ascii="Georgia" w:hAnsi="Georgia"/>
          <w:sz w:val="22"/>
          <w:szCs w:val="22"/>
        </w:rPr>
        <w:t xml:space="preserve"> </w:t>
      </w:r>
      <w:r w:rsidR="004C6098" w:rsidRPr="007222DE">
        <w:rPr>
          <w:rFonts w:ascii="Georgia" w:hAnsi="Georgia"/>
          <w:sz w:val="22"/>
          <w:szCs w:val="22"/>
        </w:rPr>
        <w:fldChar w:fldCharType="begin" w:fldLock="1"/>
      </w:r>
      <w:r w:rsidR="004C6098" w:rsidRPr="007222DE">
        <w:rPr>
          <w:rFonts w:ascii="Georgia" w:hAnsi="Georgia"/>
          <w:sz w:val="22"/>
          <w:szCs w:val="22"/>
        </w:rPr>
        <w:instrText>ADDIN CSL_CITATION {"citationItems":[{"id":"ITEM-1","itemData":{"DOI":"10.1177/0020731415585986","ISSN":"0020-7314 (Print)","PMID":"25995305","abstract":"This article describes a framework and empirical evidence to support the argument  that educational programs and policies are crucial public health interventions. Concepts of education and health are developed and linked, and we review a wide range of empirical studies to clarify pathways of linkage and explore implications. Basic educational expertise and skills, including fundamental knowledge, reasoning ability, emotional self-regulation, and interactional abilities, are critical components of health. Moreover, education is a fundamental social determinant of health - an upstream cause of health. Programs that close gaps in educational outcomes between low-income or racial and ethnic minority populations and higher-income or majority populations are needed to promote health equity. Public health policy makers, health practitioners and educators, and departments of health and education can collaborate to implement educational programs and policies for which systematic evidence indicates clear public health benefits.","author":[{"dropping-particle":"","family":"Hahn","given":"Robert A","non-dropping-particle":"","parse-names":false,"suffix":""},{"dropping-particle":"","family":"Truman","given":"Benedict I","non-dropping-particle":"","parse-names":false,"suffix":""}],"container-title":"International journal of health services : planning, administration, evaluation","id":"ITEM-1","issue":"4","issued":{"date-parts":[["2015"]]},"language":"eng","page":"657-678","publisher-place":"United States","title":"Education Improves Public Health and Promotes Health Equity.","type":"article-journal","volume":"45"},"uris":["http://www.mendeley.com/documents/?uuid=df456ef7-9387-4ea0-bd90-9dcb8f4d9727"]}],"mendeley":{"formattedCitation":"(Hahn and Truman, 2015)","plainTextFormattedCitation":"(Hahn and Truman, 2015)","previouslyFormattedCitation":"(Hahn and Truman, 2015)"},"properties":{"noteIndex":0},"schema":"https://github.com/citation-style-language/schema/raw/master/csl-citation.json"}</w:instrText>
      </w:r>
      <w:r w:rsidR="004C6098" w:rsidRPr="007222DE">
        <w:rPr>
          <w:rFonts w:ascii="Georgia" w:hAnsi="Georgia"/>
          <w:sz w:val="22"/>
          <w:szCs w:val="22"/>
        </w:rPr>
        <w:fldChar w:fldCharType="separate"/>
      </w:r>
      <w:r w:rsidR="004C6098" w:rsidRPr="007222DE">
        <w:rPr>
          <w:rFonts w:ascii="Georgia" w:hAnsi="Georgia"/>
          <w:noProof/>
          <w:sz w:val="22"/>
          <w:szCs w:val="22"/>
        </w:rPr>
        <w:t>(Hahn and Truman, 2015)</w:t>
      </w:r>
      <w:r w:rsidR="004C6098" w:rsidRPr="007222DE">
        <w:rPr>
          <w:rFonts w:ascii="Georgia" w:hAnsi="Georgia"/>
          <w:sz w:val="22"/>
          <w:szCs w:val="22"/>
        </w:rPr>
        <w:fldChar w:fldCharType="end"/>
      </w:r>
      <w:r w:rsidRPr="007222DE">
        <w:rPr>
          <w:rFonts w:ascii="Georgia" w:hAnsi="Georgia"/>
          <w:sz w:val="22"/>
          <w:szCs w:val="22"/>
        </w:rPr>
        <w:t>.</w:t>
      </w:r>
    </w:p>
    <w:p w14:paraId="46388DB6" w14:textId="2306B627" w:rsidR="008A0FC2" w:rsidRPr="007222DE" w:rsidRDefault="008A0FC2" w:rsidP="008A0FC2">
      <w:pPr>
        <w:pStyle w:val="BodyText"/>
        <w:ind w:left="90" w:right="116" w:firstLine="630"/>
        <w:jc w:val="both"/>
        <w:rPr>
          <w:rFonts w:ascii="Georgia" w:hAnsi="Georgia"/>
          <w:sz w:val="22"/>
          <w:szCs w:val="22"/>
        </w:rPr>
      </w:pPr>
      <w:r w:rsidRPr="007222DE">
        <w:rPr>
          <w:rFonts w:ascii="Georgia" w:hAnsi="Georgia"/>
          <w:sz w:val="22"/>
          <w:szCs w:val="22"/>
        </w:rPr>
        <w:t>Penting juga dicatat bahwa perubahan sikap ini menunjukkan potensi program pendidikan untuk menciptakan lingkungan sekolah yang lebih aman dan mendukung bagi siswa. Jika program ini dilaksanakan secara berkelanjutan, diharapkan siswa dapat menjadi agen perubahan di lingkungannya, menyebarkan pemahaman tentang pentingnya menjaga batasan pribadi dan mendukung langkah-langkah pencegahan kekerasan seksual. Dengan demikian, mereka berperan aktif dalam membangun komunitas yang peduli terhadap keselamatan dan kesehatan sosial.</w:t>
      </w:r>
      <w:r w:rsidRPr="007222DE">
        <w:rPr>
          <w:rFonts w:ascii="Georgia" w:hAnsi="Georgia"/>
          <w:sz w:val="22"/>
          <w:szCs w:val="22"/>
        </w:rPr>
        <w:t xml:space="preserve"> Program </w:t>
      </w:r>
      <w:r w:rsidRPr="007222DE">
        <w:rPr>
          <w:rFonts w:ascii="Georgia" w:hAnsi="Georgia"/>
          <w:sz w:val="22"/>
          <w:szCs w:val="22"/>
        </w:rPr>
        <w:t>pendidikan kesehatan ini memberikan dampak positif tidak hanya dalam meningkatkan pengetahuan siswa, tetapi juga dalam membentuk sikap mereka. Sikap yang positif dan proaktif sangat penting karena siswa akan lebih termotivasi untuk mengambil tindakan yang diperlukan dan berbagi pengetahuan mereka dengan orang lain. Upaya pendidikan ini dapat dijadikan model yang diadopsi di sekolah-sekolah lain, guna memperkuat sikap kolektif dalam pencegahan kekerasan seksual di kalangan remaja.</w:t>
      </w:r>
    </w:p>
    <w:p w14:paraId="216A1479" w14:textId="7DA02259" w:rsidR="008412D2" w:rsidRPr="007222DE" w:rsidRDefault="008412D2" w:rsidP="008A0FC2">
      <w:pPr>
        <w:pStyle w:val="Title"/>
        <w:spacing w:before="0"/>
        <w:jc w:val="left"/>
        <w:rPr>
          <w:rFonts w:ascii="Georgia" w:hAnsi="Georgia"/>
          <w:sz w:val="22"/>
          <w:szCs w:val="22"/>
        </w:rPr>
      </w:pPr>
    </w:p>
    <w:p w14:paraId="625EF2A3" w14:textId="234AC0DB" w:rsidR="00CE10D1" w:rsidRPr="007222DE" w:rsidRDefault="00A6467A" w:rsidP="00CE10D1">
      <w:pPr>
        <w:pStyle w:val="Heading1"/>
        <w:tabs>
          <w:tab w:val="left" w:pos="836"/>
        </w:tabs>
        <w:spacing w:before="85"/>
        <w:rPr>
          <w:rFonts w:ascii="Georgia" w:hAnsi="Georgia"/>
          <w:spacing w:val="-2"/>
          <w:sz w:val="22"/>
          <w:szCs w:val="22"/>
        </w:rPr>
      </w:pPr>
      <w:r w:rsidRPr="007222DE">
        <w:rPr>
          <w:rFonts w:ascii="Georgia" w:hAnsi="Georgia"/>
          <w:spacing w:val="-2"/>
          <w:sz w:val="22"/>
          <w:szCs w:val="22"/>
        </w:rPr>
        <w:t>Kesimpulan</w:t>
      </w:r>
    </w:p>
    <w:p w14:paraId="28F0950C" w14:textId="77777777"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 xml:space="preserve">Program pendidikan kesehatan mengenai pencegahan kekerasan seksual di SMP 12 Kendari memiliki dampak positif yang signifikan terhadap siswa. Melalui program ini, siswa dapat memahami konsep kekerasan seksual, mengenali tanda-tanda bahaya, dan mengetahui langkah-langkah perlindungan diri. Selain itu, pendidikan ini juga mengubah sikap siswa, meningkatkan kewaspadaan mereka, serta mendorong budaya </w:t>
      </w:r>
      <w:r w:rsidRPr="007222DE">
        <w:rPr>
          <w:rFonts w:ascii="Georgia" w:hAnsi="Georgia"/>
          <w:sz w:val="22"/>
          <w:szCs w:val="22"/>
        </w:rPr>
        <w:t>sekolah yang aman dan menghargai hak-hak individu.</w:t>
      </w:r>
    </w:p>
    <w:p w14:paraId="69640EC3" w14:textId="05EE8F5F"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Manfaat dari pendidikan kesehatan ini bukan hanya terbatas pada siswa secara individu tetapi juga berdampak positif pada lingkungan sekolah dan masyarakat luas. Melalui peningkatan pemahaman dan kesadaran, risiko kekerasan seksual di sekolah dapat ditekan, menciptakan lingkungan belajar yang lebih aman dan mendukung. Dengan demikian, investasi dalam pendidikan pencegahan kekerasan seksual di SMP 12 Kendari terbukti efektif dalam meningkatkan keselamatan, kenyamanan, dan kesejahteraan siswa.</w:t>
      </w:r>
    </w:p>
    <w:p w14:paraId="654EC96C" w14:textId="77777777" w:rsidR="00CE10D1" w:rsidRPr="007222DE" w:rsidRDefault="00CE10D1" w:rsidP="00CE10D1">
      <w:pPr>
        <w:pStyle w:val="BodyText"/>
        <w:ind w:left="116" w:right="116" w:firstLineChars="226" w:firstLine="497"/>
        <w:jc w:val="both"/>
        <w:rPr>
          <w:rFonts w:ascii="Georgia" w:hAnsi="Georgia"/>
          <w:sz w:val="22"/>
          <w:szCs w:val="22"/>
        </w:rPr>
      </w:pPr>
    </w:p>
    <w:p w14:paraId="1A922408" w14:textId="77777777" w:rsidR="00CE10D1" w:rsidRPr="007222DE" w:rsidRDefault="00CE10D1" w:rsidP="00CE10D1">
      <w:pPr>
        <w:pStyle w:val="Heading2"/>
        <w:jc w:val="both"/>
        <w:rPr>
          <w:rFonts w:ascii="Georgia" w:hAnsi="Georgia"/>
          <w:sz w:val="22"/>
          <w:szCs w:val="22"/>
        </w:rPr>
      </w:pPr>
      <w:r w:rsidRPr="007222DE">
        <w:rPr>
          <w:rFonts w:ascii="Georgia" w:hAnsi="Georgia"/>
          <w:sz w:val="22"/>
          <w:szCs w:val="22"/>
        </w:rPr>
        <w:t>Ucapan</w:t>
      </w:r>
      <w:r w:rsidRPr="007222DE">
        <w:rPr>
          <w:rFonts w:ascii="Georgia" w:hAnsi="Georgia"/>
          <w:spacing w:val="-5"/>
          <w:sz w:val="22"/>
          <w:szCs w:val="22"/>
        </w:rPr>
        <w:t xml:space="preserve"> </w:t>
      </w:r>
      <w:r w:rsidRPr="007222DE">
        <w:rPr>
          <w:rFonts w:ascii="Georgia" w:hAnsi="Georgia"/>
          <w:sz w:val="22"/>
          <w:szCs w:val="22"/>
        </w:rPr>
        <w:t xml:space="preserve">Terima </w:t>
      </w:r>
      <w:r w:rsidRPr="007222DE">
        <w:rPr>
          <w:rFonts w:ascii="Georgia" w:hAnsi="Georgia"/>
          <w:spacing w:val="-4"/>
          <w:sz w:val="22"/>
          <w:szCs w:val="22"/>
        </w:rPr>
        <w:t>Kasih</w:t>
      </w:r>
    </w:p>
    <w:p w14:paraId="2ED54112" w14:textId="77777777"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Terima kasih yang tulus kami sampaikan kepada seluruh pihak yang berperan dalam pelaksanaan program pencegahan kekerasan seksual di SMP 12 Kendari. Kepada tim penyelenggara, terima kasih atas komitmen dan upayanya dalam merancang dan mengimplementasikan program ini dengan sukses. Usaha kolektif ini tidak hanya memberikan dampak nyata bagi siswa, tetapi juga meningkatkan standar keselamatan di lingkungan sekolah.</w:t>
      </w:r>
    </w:p>
    <w:p w14:paraId="0C40BD73" w14:textId="382255DF" w:rsidR="008A0FC2" w:rsidRPr="007222DE" w:rsidRDefault="008A0FC2" w:rsidP="008A0FC2">
      <w:pPr>
        <w:pStyle w:val="BodyText"/>
        <w:ind w:left="116" w:right="116" w:firstLineChars="226" w:firstLine="497"/>
        <w:jc w:val="both"/>
        <w:rPr>
          <w:rFonts w:ascii="Georgia" w:hAnsi="Georgia"/>
          <w:sz w:val="22"/>
          <w:szCs w:val="22"/>
        </w:rPr>
      </w:pPr>
      <w:r w:rsidRPr="007222DE">
        <w:rPr>
          <w:rFonts w:ascii="Georgia" w:hAnsi="Georgia"/>
          <w:sz w:val="22"/>
          <w:szCs w:val="22"/>
        </w:rPr>
        <w:t>Terima kasih juga kepada para siswa yang telah berpartisipasi dengan antusias dan menunjukkan komitmen untuk meningkatkan pemahaman mereka mengenai pencegahan kekerasan seksual. Kolaborasi antara pihak sekolah, siswa, dan masyarakat membuktikan bahwa edukasi kesehatan adalah kunci untuk menciptakan lingkungan yang lebih aman. Semoga pengetahuan dan kesadaran yang diperoleh dari kegiatan ini menjadi dasar bagi perlindungan yang berkelanjutan di masa depan.</w:t>
      </w:r>
      <w:r w:rsidRPr="007222DE">
        <w:rPr>
          <w:rFonts w:ascii="Georgia" w:hAnsi="Georgia"/>
          <w:sz w:val="22"/>
          <w:szCs w:val="22"/>
        </w:rPr>
        <w:t xml:space="preserve"> Terima </w:t>
      </w:r>
      <w:r w:rsidRPr="007222DE">
        <w:rPr>
          <w:rFonts w:ascii="Georgia" w:hAnsi="Georgia"/>
          <w:sz w:val="22"/>
          <w:szCs w:val="22"/>
        </w:rPr>
        <w:t>kasih kepada semua pihak yang turut mendukung kesuksesan program ini. Semoga kerjasama kita dalam menciptakan sekolah yang aman dapat menginspirasi program-program preventif lainnya di sektor pendidikan dan memberikan manfaat berkelanjutan bagi komunitas.</w:t>
      </w:r>
    </w:p>
    <w:p w14:paraId="2AB09329" w14:textId="77777777" w:rsidR="008A0FC2" w:rsidRPr="007222DE" w:rsidRDefault="008A0FC2" w:rsidP="008A0FC2">
      <w:pPr>
        <w:pStyle w:val="BodyText"/>
        <w:ind w:left="116" w:right="116" w:firstLineChars="226" w:firstLine="497"/>
        <w:jc w:val="both"/>
        <w:rPr>
          <w:rFonts w:ascii="Georgia" w:hAnsi="Georgia"/>
          <w:sz w:val="22"/>
          <w:szCs w:val="22"/>
        </w:rPr>
      </w:pPr>
    </w:p>
    <w:p w14:paraId="488C79DC" w14:textId="502BCDE1" w:rsidR="008A0FC2" w:rsidRPr="007222DE" w:rsidRDefault="008A0FC2">
      <w:pPr>
        <w:rPr>
          <w:rFonts w:ascii="Georgia" w:hAnsi="Georgia"/>
        </w:rPr>
      </w:pPr>
    </w:p>
    <w:p w14:paraId="3B8617B1" w14:textId="3E50FAA8" w:rsidR="008A0FC2" w:rsidRPr="007222DE" w:rsidRDefault="008A0FC2" w:rsidP="008A0FC2">
      <w:pPr>
        <w:jc w:val="center"/>
        <w:rPr>
          <w:rFonts w:ascii="Georgia" w:hAnsi="Georgia"/>
          <w:b/>
          <w:bCs/>
        </w:rPr>
      </w:pPr>
      <w:r w:rsidRPr="007222DE">
        <w:rPr>
          <w:rFonts w:ascii="Georgia" w:hAnsi="Georgia"/>
          <w:b/>
          <w:bCs/>
        </w:rPr>
        <w:t>DAFTAR PUSTAKA</w:t>
      </w:r>
    </w:p>
    <w:p w14:paraId="43ACCCBB" w14:textId="573709A2" w:rsidR="008A0FC2" w:rsidRPr="007222DE" w:rsidRDefault="008A0FC2" w:rsidP="004C6098">
      <w:pPr>
        <w:adjustRightInd w:val="0"/>
        <w:spacing w:before="120"/>
        <w:ind w:left="446" w:hanging="446"/>
        <w:jc w:val="both"/>
        <w:rPr>
          <w:rFonts w:ascii="Georgia" w:hAnsi="Georgia"/>
          <w:noProof/>
        </w:rPr>
      </w:pPr>
    </w:p>
    <w:p w14:paraId="7FE04DB3" w14:textId="20861705" w:rsidR="00125BE5" w:rsidRPr="007222DE" w:rsidRDefault="004C6098" w:rsidP="00125BE5">
      <w:pPr>
        <w:adjustRightInd w:val="0"/>
        <w:spacing w:before="120"/>
        <w:ind w:left="720" w:hanging="720"/>
        <w:jc w:val="both"/>
        <w:rPr>
          <w:rFonts w:ascii="Georgia" w:hAnsi="Georgia"/>
          <w:noProof/>
        </w:rPr>
      </w:pPr>
      <w:r w:rsidRPr="007222DE">
        <w:rPr>
          <w:rFonts w:ascii="Georgia" w:hAnsi="Georgia"/>
          <w:noProof/>
        </w:rPr>
        <w:fldChar w:fldCharType="begin" w:fldLock="1"/>
      </w:r>
      <w:r w:rsidRPr="007222DE">
        <w:rPr>
          <w:rFonts w:ascii="Georgia" w:hAnsi="Georgia"/>
          <w:noProof/>
        </w:rPr>
        <w:instrText xml:space="preserve">ADDIN Mendeley Bibliography CSL_BIBLIOGRAPHY </w:instrText>
      </w:r>
      <w:r w:rsidRPr="007222DE">
        <w:rPr>
          <w:rFonts w:ascii="Georgia" w:hAnsi="Georgia"/>
          <w:noProof/>
        </w:rPr>
        <w:fldChar w:fldCharType="separate"/>
      </w:r>
      <w:r w:rsidR="00125BE5" w:rsidRPr="007222DE">
        <w:rPr>
          <w:rFonts w:ascii="Georgia" w:hAnsi="Georgia"/>
          <w:noProof/>
        </w:rPr>
        <w:t>Acharya, H. et al. (2019) ‘The effectiveness of applied learning: an empirical evaluation using role playing in the classroom’, Journal of Research in Innovative Teaching and Learning, 12(3), pp. 295–310. Available at: https://doi.org/10.1108/JRIT-06-2018-0013.</w:t>
      </w:r>
    </w:p>
    <w:p w14:paraId="5B11B633"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Amanu, A., Birhanu, Z. and Godesso, A. (2023) ‘Sexual and reproductive health literacy among young people in Sub-Saharan Africa: evidence synthesis and implications’, Global Health Action, 16(1), p. 2279841. Available at: https://doi.org/10.1080/16549716.2023.2279841.</w:t>
      </w:r>
    </w:p>
    <w:p w14:paraId="5187AB34"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Barbara, G. et al. (2017) ‘Sexual Violence Against Adolescent Girls: Labeling It to Avoid Normalization.’, Journal of women’s health (2002), 26(11), pp. 1146–1149. Available at: https://doi.org/10.1089/jwh.2016.6161.</w:t>
      </w:r>
    </w:p>
    <w:p w14:paraId="5CBFBA36"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Chowdhury, N., Khalid, A. and Turin, T.C. (2023) ‘Understanding misinformation infodemic during public health emergencies due to  large-scale disease outbreaks: a rapid review.’, Zeitschrift fur Gesundheitswissenschaften = Journal of public health, 31(4), pp. 553–573. Available at: https://doi.org/10.1007/s10389-021-01565-3.</w:t>
      </w:r>
    </w:p>
    <w:p w14:paraId="42579F08"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Hahn, R.A. and Truman, B.I. (2015) ‘Education Improves Public Health and Promotes Health Equity.’, International journal of health services</w:t>
      </w:r>
      <w:r w:rsidRPr="007222DE">
        <w:rPr>
          <w:noProof/>
        </w:rPr>
        <w:t> </w:t>
      </w:r>
      <w:r w:rsidRPr="007222DE">
        <w:rPr>
          <w:rFonts w:ascii="Georgia" w:hAnsi="Georgia"/>
          <w:noProof/>
        </w:rPr>
        <w:t>: planning, administration, evaluation, 45(4), pp. 657–678. Available at: https://doi.org/10.1177/0020731415585986.</w:t>
      </w:r>
    </w:p>
    <w:p w14:paraId="367CC196"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Kuo, C., Mathews, C. and Abrahams, N. (2018) ‘Chapter 12 - Sexual Violence As a Global Health Problem: Current Evidence and Future Directions’, in L.M. Orchowski and C.A.B.T.-S.A.R.R. and R. Gidycz (eds). San Diego: Academic Press, pp. 291–308. Available at: https://doi.org/https://doi.org/10.1016/B978-0-12-805389-8.00012-8.</w:t>
      </w:r>
    </w:p>
    <w:p w14:paraId="6B1B5C80"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Mayer, M.J., Nickerson, A.B. and Jimerson, S.R. (2021) ‘Preventing School Violence and Promoting School Safety: Contemporary Scholarship Advancing Science, Practice, and Policy’, School Psychology Review, 50(2–3), pp. 131–142. Available at: https://doi.org/10.1080/2372966X.2021.1949933.</w:t>
      </w:r>
    </w:p>
    <w:p w14:paraId="13B87F82"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Pérez-Jorge, D. et al. (2021) ‘Educational Programs for the Promotion of Health at School: A Systematic Review.’, International journal of environmental research and public health, 18(20). Available at: https://doi.org/10.3390/ijerph182010818.</w:t>
      </w:r>
    </w:p>
    <w:p w14:paraId="28004C02"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Piolanti, A., Jouriles, E.N. and Foran, H.M. (2022) ‘Assessment of Psychosocial Programs to Prevent Sexual Violence During Adolescence: A Systematic Review and Meta-analysis’, JAMA Network Open, 5(11), pp. e2240895–e2240895. Available at: https://doi.org/10.1001/jamanetworkopen.2022.40895.</w:t>
      </w:r>
    </w:p>
    <w:p w14:paraId="2E70C1E5"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Porat, R. et al. (2024) ‘Preventing Sexual Violence: A Behavioral Problem Without a Behaviorally Informed Solution’, Psychological Science in the Public Interest, 25(1), pp. 4–29. Available at: https://doi.org/10.1177/15291006231221978.</w:t>
      </w:r>
    </w:p>
    <w:p w14:paraId="36CB2783"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 xml:space="preserve">Schneider, M. and Hirsch, J.S. (2020) </w:t>
      </w:r>
      <w:r w:rsidRPr="007222DE">
        <w:rPr>
          <w:rFonts w:ascii="Georgia" w:hAnsi="Georgia"/>
          <w:noProof/>
        </w:rPr>
        <w:lastRenderedPageBreak/>
        <w:t>‘Comprehensive Sexuality Education as a Primary Prevention Strategy for Sexual  Violence Perpetration.’, Trauma, violence &amp; abuse, 21(3), pp. 439–455. Available at: https://doi.org/10.1177/1524838018772855.</w:t>
      </w:r>
    </w:p>
    <w:p w14:paraId="2AB7A4B5"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Sugiono (2022) ‘Metode Penelitian Kuantitatif, Kualitatif, dan R&amp;D. Bandung</w:t>
      </w:r>
      <w:r w:rsidRPr="007222DE">
        <w:rPr>
          <w:noProof/>
        </w:rPr>
        <w:t> </w:t>
      </w:r>
      <w:r w:rsidRPr="007222DE">
        <w:rPr>
          <w:rFonts w:ascii="Georgia" w:hAnsi="Georgia"/>
          <w:noProof/>
        </w:rPr>
        <w:t>: Alfabeta, CV.</w:t>
      </w:r>
      <w:r w:rsidRPr="007222DE">
        <w:rPr>
          <w:rFonts w:ascii="Georgia" w:hAnsi="Georgia" w:cs="Georgia"/>
          <w:noProof/>
        </w:rPr>
        <w:t>’</w:t>
      </w:r>
    </w:p>
    <w:p w14:paraId="62367E9B" w14:textId="77777777" w:rsidR="00125BE5" w:rsidRPr="007222DE" w:rsidRDefault="00125BE5" w:rsidP="00125BE5">
      <w:pPr>
        <w:adjustRightInd w:val="0"/>
        <w:spacing w:before="120"/>
        <w:ind w:left="720" w:hanging="720"/>
        <w:jc w:val="both"/>
        <w:rPr>
          <w:rFonts w:ascii="Georgia" w:hAnsi="Georgia"/>
          <w:noProof/>
        </w:rPr>
      </w:pPr>
      <w:r w:rsidRPr="007222DE">
        <w:rPr>
          <w:rFonts w:ascii="Georgia" w:hAnsi="Georgia"/>
          <w:noProof/>
        </w:rPr>
        <w:t>Tong, D.H., Uyen, B.P. and Ngan, L.K. (2022) ‘The effectiveness of blended learning on students’ academic achievement, self-study skills and learning attitudes: A quasi-experiment study in teaching the conventions for coordinates in the plane’, Heliyon, 8(12), p. e12657. Available at: https://doi.org/https://doi.org/10.1016/j.heliyon.2022.e12657.</w:t>
      </w:r>
    </w:p>
    <w:p w14:paraId="33319C74" w14:textId="77777777" w:rsidR="00895256" w:rsidRPr="007222DE" w:rsidRDefault="004C6098" w:rsidP="00125BE5">
      <w:pPr>
        <w:adjustRightInd w:val="0"/>
        <w:spacing w:before="120"/>
        <w:ind w:left="720" w:hanging="720"/>
        <w:jc w:val="both"/>
        <w:rPr>
          <w:rFonts w:ascii="Georgia" w:hAnsi="Georgia"/>
          <w:noProof/>
        </w:rPr>
        <w:sectPr w:rsidR="00895256" w:rsidRPr="007222DE" w:rsidSect="001C4142">
          <w:type w:val="continuous"/>
          <w:pgSz w:w="11910" w:h="16840" w:code="9"/>
          <w:pgMar w:top="1699" w:right="1699" w:bottom="1699" w:left="1699" w:header="628" w:footer="792" w:gutter="0"/>
          <w:cols w:num="2" w:space="330"/>
        </w:sectPr>
      </w:pPr>
      <w:r w:rsidRPr="007222DE">
        <w:rPr>
          <w:rFonts w:ascii="Georgia" w:hAnsi="Georgia"/>
          <w:noProof/>
        </w:rPr>
        <w:fldChar w:fldCharType="end"/>
      </w:r>
    </w:p>
    <w:p w14:paraId="757974AC" w14:textId="14D7BB1A" w:rsidR="008A0FC2" w:rsidRPr="007222DE" w:rsidRDefault="008A0FC2" w:rsidP="00125BE5">
      <w:pPr>
        <w:adjustRightInd w:val="0"/>
        <w:spacing w:before="120"/>
        <w:ind w:left="720" w:hanging="720"/>
        <w:jc w:val="both"/>
        <w:rPr>
          <w:rFonts w:ascii="Georgia" w:hAnsi="Georgia"/>
          <w:noProof/>
        </w:rPr>
      </w:pPr>
    </w:p>
    <w:sectPr w:rsidR="008A0FC2" w:rsidRPr="007222DE" w:rsidSect="007222DE">
      <w:type w:val="continuous"/>
      <w:pgSz w:w="11910" w:h="16840" w:code="9"/>
      <w:pgMar w:top="1699" w:right="1699" w:bottom="1699" w:left="1699" w:header="628" w:footer="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2425" w14:textId="77777777" w:rsidR="004E6F86" w:rsidRDefault="004E6F86">
      <w:r>
        <w:separator/>
      </w:r>
    </w:p>
  </w:endnote>
  <w:endnote w:type="continuationSeparator" w:id="0">
    <w:p w14:paraId="28BB461D" w14:textId="77777777" w:rsidR="004E6F86" w:rsidRDefault="004E6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Antiqua-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E939" w14:textId="77777777" w:rsidR="004B28FD" w:rsidRDefault="00C83FFA">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51122EE" wp14:editId="0D75DD67">
              <wp:simplePos x="0" y="0"/>
              <wp:positionH relativeFrom="page">
                <wp:posOffset>3635375</wp:posOffset>
              </wp:positionH>
              <wp:positionV relativeFrom="page">
                <wp:posOffset>10052685</wp:posOffset>
              </wp:positionV>
              <wp:extent cx="302260" cy="180340"/>
              <wp:effectExtent l="0" t="0" r="0" b="0"/>
              <wp:wrapNone/>
              <wp:docPr id="8" name="Textbox 8"/>
              <wp:cNvGraphicFramePr/>
              <a:graphic xmlns:a="http://schemas.openxmlformats.org/drawingml/2006/main">
                <a:graphicData uri="http://schemas.microsoft.com/office/word/2010/wordprocessingShape">
                  <wps:wsp>
                    <wps:cNvSpPr txBox="1"/>
                    <wps:spPr>
                      <a:xfrm>
                        <a:off x="0" y="0"/>
                        <a:ext cx="302260" cy="180340"/>
                      </a:xfrm>
                      <a:prstGeom prst="rect">
                        <a:avLst/>
                      </a:prstGeom>
                    </wps:spPr>
                    <wps:txbx>
                      <w:txbxContent>
                        <w:p w14:paraId="4A135246" w14:textId="77777777" w:rsidR="004B28FD" w:rsidRDefault="00C83FFA">
                          <w:pPr>
                            <w:spacing w:before="10"/>
                            <w:ind w:left="6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wps:txbx>
                    <wps:bodyPr wrap="square" lIns="0" tIns="0" rIns="0" bIns="0" rtlCol="0">
                      <a:noAutofit/>
                    </wps:bodyPr>
                  </wps:wsp>
                </a:graphicData>
              </a:graphic>
            </wp:anchor>
          </w:drawing>
        </mc:Choice>
        <mc:Fallback>
          <w:pict>
            <v:shapetype w14:anchorId="551122EE" id="_x0000_t202" coordsize="21600,21600" o:spt="202" path="m,l,21600r21600,l21600,xe">
              <v:stroke joinstyle="miter"/>
              <v:path gradientshapeok="t" o:connecttype="rect"/>
            </v:shapetype>
            <v:shape id="Textbox 8" o:spid="_x0000_s1026" type="#_x0000_t202" style="position:absolute;margin-left:286.25pt;margin-top:791.55pt;width:23.8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" filled="f" stroked="f">
              <v:textbox inset="0,0,0,0">
                <w:txbxContent>
                  <w:p w14:paraId="4A135246" w14:textId="77777777" w:rsidR="004B28FD" w:rsidRDefault="00C83FFA">
                    <w:pPr>
                      <w:spacing w:before="10"/>
                      <w:ind w:left="60"/>
                    </w:pPr>
                    <w:r>
                      <w:rPr>
                        <w:spacing w:val="-5"/>
                      </w:rPr>
                      <w:fldChar w:fldCharType="begin"/>
                    </w:r>
                    <w:r>
                      <w:rPr>
                        <w:spacing w:val="-5"/>
                      </w:rPr>
                      <w:instrText xml:space="preserve"> PAGE </w:instrText>
                    </w:r>
                    <w:r>
                      <w:rPr>
                        <w:spacing w:val="-5"/>
                      </w:rPr>
                      <w:fldChar w:fldCharType="separate"/>
                    </w:r>
                    <w:r>
                      <w:rPr>
                        <w:noProof/>
                        <w:spacing w:val="-5"/>
                      </w:rPr>
                      <w:t>6</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FD9AA" w14:textId="77777777" w:rsidR="004B28FD" w:rsidRDefault="00C83FFA">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7DBB8331" wp14:editId="1DA4F9A5">
              <wp:simplePos x="0" y="0"/>
              <wp:positionH relativeFrom="page">
                <wp:posOffset>3635375</wp:posOffset>
              </wp:positionH>
              <wp:positionV relativeFrom="page">
                <wp:posOffset>10052685</wp:posOffset>
              </wp:positionV>
              <wp:extent cx="302260" cy="180340"/>
              <wp:effectExtent l="0" t="0" r="0" b="0"/>
              <wp:wrapNone/>
              <wp:docPr id="7" name="Textbox 7"/>
              <wp:cNvGraphicFramePr/>
              <a:graphic xmlns:a="http://schemas.openxmlformats.org/drawingml/2006/main">
                <a:graphicData uri="http://schemas.microsoft.com/office/word/2010/wordprocessingShape">
                  <wps:wsp>
                    <wps:cNvSpPr txBox="1"/>
                    <wps:spPr>
                      <a:xfrm>
                        <a:off x="0" y="0"/>
                        <a:ext cx="302260" cy="180340"/>
                      </a:xfrm>
                      <a:prstGeom prst="rect">
                        <a:avLst/>
                      </a:prstGeom>
                    </wps:spPr>
                    <wps:txbx>
                      <w:txbxContent>
                        <w:p w14:paraId="06CC07BD" w14:textId="77777777" w:rsidR="004B28FD" w:rsidRDefault="00C83FFA">
                          <w:pPr>
                            <w:spacing w:before="10"/>
                            <w:ind w:left="60"/>
                          </w:pPr>
                          <w:r>
                            <w:rPr>
                              <w:spacing w:val="-5"/>
                            </w:rPr>
                            <w:fldChar w:fldCharType="begin"/>
                          </w:r>
                          <w:r>
                            <w:rPr>
                              <w:spacing w:val="-5"/>
                            </w:rPr>
                            <w:instrText xml:space="preserve"> PAGE </w:instrText>
                          </w:r>
                          <w:r>
                            <w:rPr>
                              <w:spacing w:val="-5"/>
                            </w:rPr>
                            <w:fldChar w:fldCharType="separate"/>
                          </w:r>
                          <w:r>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w14:anchorId="7DBB8331" id="_x0000_t202" coordsize="21600,21600" o:spt="202" path="m,l,21600r21600,l21600,xe">
              <v:stroke joinstyle="miter"/>
              <v:path gradientshapeok="t" o:connecttype="rect"/>
            </v:shapetype>
            <v:shape id="Textbox 7" o:spid="_x0000_s1027" type="#_x0000_t202" style="position:absolute;margin-left:286.25pt;margin-top:791.55pt;width:23.8pt;height:1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" filled="f" stroked="f">
              <v:textbox inset="0,0,0,0">
                <w:txbxContent>
                  <w:p w14:paraId="06CC07BD" w14:textId="77777777" w:rsidR="004B28FD" w:rsidRDefault="00C83FFA">
                    <w:pPr>
                      <w:spacing w:before="10"/>
                      <w:ind w:left="60"/>
                    </w:pPr>
                    <w:r>
                      <w:rPr>
                        <w:spacing w:val="-5"/>
                      </w:rPr>
                      <w:fldChar w:fldCharType="begin"/>
                    </w:r>
                    <w:r>
                      <w:rPr>
                        <w:spacing w:val="-5"/>
                      </w:rPr>
                      <w:instrText xml:space="preserve"> PAGE </w:instrText>
                    </w:r>
                    <w:r>
                      <w:rPr>
                        <w:spacing w:val="-5"/>
                      </w:rPr>
                      <w:fldChar w:fldCharType="separate"/>
                    </w:r>
                    <w:r>
                      <w:rPr>
                        <w:noProof/>
                        <w:spacing w:val="-5"/>
                      </w:rPr>
                      <w:t>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F102" w14:textId="77777777" w:rsidR="004E6F86" w:rsidRDefault="004E6F86">
      <w:r>
        <w:separator/>
      </w:r>
    </w:p>
  </w:footnote>
  <w:footnote w:type="continuationSeparator" w:id="0">
    <w:p w14:paraId="1E8EFCFE" w14:textId="77777777" w:rsidR="004E6F86" w:rsidRDefault="004E6F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B78FD" w14:textId="77777777" w:rsidR="004B28FD" w:rsidRDefault="004E6F8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C710" w14:textId="77777777" w:rsidR="00895256" w:rsidRDefault="00895256" w:rsidP="00895256">
    <w:pPr>
      <w:rPr>
        <w:rFonts w:ascii="Georgia" w:eastAsia="Georgia" w:hAnsi="Georgia" w:cs="Georgia"/>
        <w:b/>
        <w:sz w:val="16"/>
        <w:szCs w:val="16"/>
      </w:rPr>
    </w:pPr>
    <w:r>
      <w:rPr>
        <w:rFonts w:ascii="Georgia" w:eastAsia="Georgia" w:hAnsi="Georgia" w:cs="Georgia"/>
        <w:b/>
        <w:sz w:val="16"/>
        <w:szCs w:val="16"/>
      </w:rPr>
      <w:t>Karya Kesehatan Siwalima</w:t>
    </w:r>
    <w:r>
      <w:rPr>
        <w:noProof/>
      </w:rPr>
      <w:drawing>
        <wp:anchor distT="0" distB="0" distL="114300" distR="114300" simplePos="0" relativeHeight="251661312" behindDoc="0" locked="0" layoutInCell="1" hidden="0" allowOverlap="1" wp14:anchorId="3E7C4BB4" wp14:editId="41711DB2">
          <wp:simplePos x="0" y="0"/>
          <wp:positionH relativeFrom="column">
            <wp:posOffset>3423284</wp:posOffset>
          </wp:positionH>
          <wp:positionV relativeFrom="paragraph">
            <wp:posOffset>-121919</wp:posOffset>
          </wp:positionV>
          <wp:extent cx="2072640" cy="73914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2640" cy="739140"/>
                  </a:xfrm>
                  <a:prstGeom prst="rect">
                    <a:avLst/>
                  </a:prstGeom>
                  <a:ln/>
                </pic:spPr>
              </pic:pic>
            </a:graphicData>
          </a:graphic>
        </wp:anchor>
      </w:drawing>
    </w:r>
  </w:p>
  <w:p w14:paraId="4F3459B9" w14:textId="77777777" w:rsidR="00895256" w:rsidRDefault="00895256" w:rsidP="00895256">
    <w:pPr>
      <w:rPr>
        <w:rFonts w:ascii="Georgia" w:eastAsia="Georgia" w:hAnsi="Georgia" w:cs="Georgia"/>
        <w:sz w:val="16"/>
        <w:szCs w:val="16"/>
      </w:rPr>
    </w:pPr>
    <w:r>
      <w:rPr>
        <w:rFonts w:ascii="Georgia" w:eastAsia="Georgia" w:hAnsi="Georgia" w:cs="Georgia"/>
        <w:sz w:val="16"/>
        <w:szCs w:val="16"/>
      </w:rPr>
      <w:t xml:space="preserve">https://ojs.ukim.ac.id/index.php/KKS   </w:t>
    </w:r>
  </w:p>
  <w:p w14:paraId="2662EECB" w14:textId="77777777" w:rsidR="00895256" w:rsidRDefault="00895256" w:rsidP="00895256">
    <w:pPr>
      <w:rPr>
        <w:rFonts w:ascii="Georgia" w:eastAsia="Georgia" w:hAnsi="Georgia" w:cs="Georgia"/>
        <w:sz w:val="16"/>
        <w:szCs w:val="16"/>
      </w:rPr>
    </w:pPr>
    <w:r>
      <w:rPr>
        <w:rFonts w:ascii="Georgia" w:eastAsia="Georgia" w:hAnsi="Georgia" w:cs="Georgia"/>
        <w:sz w:val="16"/>
        <w:szCs w:val="16"/>
      </w:rPr>
      <w:t>Volume 1 | Nomor 1 | Maret |2022</w:t>
    </w:r>
  </w:p>
  <w:p w14:paraId="3C6F9A64" w14:textId="77777777" w:rsidR="00895256" w:rsidRDefault="00895256" w:rsidP="00895256">
    <w:pPr>
      <w:rPr>
        <w:rFonts w:ascii="Georgia" w:eastAsia="Georgia" w:hAnsi="Georgia" w:cs="Georgia"/>
        <w:sz w:val="16"/>
        <w:szCs w:val="16"/>
      </w:rPr>
    </w:pPr>
    <w:r>
      <w:rPr>
        <w:rFonts w:ascii="Georgia" w:eastAsia="Georgia" w:hAnsi="Georgia" w:cs="Georgia"/>
        <w:sz w:val="16"/>
        <w:szCs w:val="16"/>
      </w:rPr>
      <w:t>e-ISSN: 2828-8181</w:t>
    </w:r>
  </w:p>
  <w:p w14:paraId="2082D475" w14:textId="77777777" w:rsidR="00895256" w:rsidRDefault="00895256" w:rsidP="00895256">
    <w:pPr>
      <w:rPr>
        <w:rFonts w:ascii="Georgia" w:eastAsia="Georgia" w:hAnsi="Georgia" w:cs="Georgia"/>
        <w:sz w:val="16"/>
        <w:szCs w:val="16"/>
      </w:rPr>
    </w:pPr>
    <w:r>
      <w:rPr>
        <w:rFonts w:ascii="Georgia" w:eastAsia="Georgia" w:hAnsi="Georgia" w:cs="Georgia"/>
        <w:sz w:val="16"/>
        <w:szCs w:val="16"/>
      </w:rPr>
      <w:t>p-ISSN: 2828-8408</w:t>
    </w:r>
  </w:p>
  <w:p w14:paraId="561D5615" w14:textId="77777777" w:rsidR="00895256" w:rsidRDefault="00895256" w:rsidP="00895256">
    <w:pPr>
      <w:pBdr>
        <w:top w:val="nil"/>
        <w:left w:val="nil"/>
        <w:bottom w:val="nil"/>
        <w:right w:val="nil"/>
        <w:between w:val="nil"/>
      </w:pBdr>
      <w:tabs>
        <w:tab w:val="center" w:pos="4680"/>
        <w:tab w:val="right" w:pos="9360"/>
      </w:tabs>
      <w:rPr>
        <w:color w:val="000000"/>
      </w:rPr>
    </w:pPr>
  </w:p>
  <w:p w14:paraId="1124102E" w14:textId="77777777" w:rsidR="004B28FD" w:rsidRDefault="004E6F86">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D1"/>
    <w:rsid w:val="00042C4C"/>
    <w:rsid w:val="000B35CA"/>
    <w:rsid w:val="00111594"/>
    <w:rsid w:val="00125BE5"/>
    <w:rsid w:val="001C1F9A"/>
    <w:rsid w:val="001C4142"/>
    <w:rsid w:val="00253CF2"/>
    <w:rsid w:val="00260FCE"/>
    <w:rsid w:val="00370856"/>
    <w:rsid w:val="003940B9"/>
    <w:rsid w:val="004951AF"/>
    <w:rsid w:val="004A16FF"/>
    <w:rsid w:val="004C6098"/>
    <w:rsid w:val="004E6F86"/>
    <w:rsid w:val="00510C9F"/>
    <w:rsid w:val="0061351B"/>
    <w:rsid w:val="007222DE"/>
    <w:rsid w:val="0080306F"/>
    <w:rsid w:val="008412D2"/>
    <w:rsid w:val="00855D1B"/>
    <w:rsid w:val="00895256"/>
    <w:rsid w:val="008A0FC2"/>
    <w:rsid w:val="00913E10"/>
    <w:rsid w:val="009E36A1"/>
    <w:rsid w:val="00A22238"/>
    <w:rsid w:val="00A6467A"/>
    <w:rsid w:val="00C83FFA"/>
    <w:rsid w:val="00CE10D1"/>
    <w:rsid w:val="00D94D75"/>
    <w:rsid w:val="00E4365F"/>
    <w:rsid w:val="00F13CD2"/>
    <w:rsid w:val="00F71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58431"/>
  <w15:chartTrackingRefBased/>
  <w15:docId w15:val="{2479B885-E61E-4F8C-B3B3-7055F6E9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
        <w:sz w:val="22"/>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10D1"/>
    <w:pPr>
      <w:widowControl w:val="0"/>
      <w:autoSpaceDE w:val="0"/>
      <w:autoSpaceDN w:val="0"/>
      <w:spacing w:after="0" w:line="240" w:lineRule="auto"/>
    </w:pPr>
    <w:rPr>
      <w:rFonts w:ascii="Times New Roman" w:eastAsia="Times New Roman" w:hAnsi="Times New Roman"/>
      <w:kern w:val="0"/>
      <w:szCs w:val="22"/>
      <w14:ligatures w14:val="none"/>
    </w:rPr>
  </w:style>
  <w:style w:type="paragraph" w:styleId="Heading1">
    <w:name w:val="heading 1"/>
    <w:basedOn w:val="Normal"/>
    <w:link w:val="Heading1Char"/>
    <w:uiPriority w:val="1"/>
    <w:qFormat/>
    <w:rsid w:val="00CE10D1"/>
    <w:pPr>
      <w:spacing w:line="274" w:lineRule="exact"/>
      <w:ind w:left="836" w:hanging="724"/>
      <w:outlineLvl w:val="0"/>
    </w:pPr>
    <w:rPr>
      <w:b/>
      <w:bCs/>
      <w:sz w:val="24"/>
      <w:szCs w:val="24"/>
    </w:rPr>
  </w:style>
  <w:style w:type="paragraph" w:styleId="Heading2">
    <w:name w:val="heading 2"/>
    <w:basedOn w:val="Normal"/>
    <w:link w:val="Heading2Char"/>
    <w:uiPriority w:val="1"/>
    <w:qFormat/>
    <w:rsid w:val="00CE10D1"/>
    <w:pPr>
      <w:spacing w:line="274" w:lineRule="exact"/>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10D1"/>
    <w:rPr>
      <w:rFonts w:ascii="Times New Roman" w:eastAsia="Times New Roman" w:hAnsi="Times New Roman"/>
      <w:b/>
      <w:bCs/>
      <w:kern w:val="0"/>
      <w:sz w:val="24"/>
      <w14:ligatures w14:val="none"/>
    </w:rPr>
  </w:style>
  <w:style w:type="character" w:customStyle="1" w:styleId="Heading2Char">
    <w:name w:val="Heading 2 Char"/>
    <w:basedOn w:val="DefaultParagraphFont"/>
    <w:link w:val="Heading2"/>
    <w:uiPriority w:val="1"/>
    <w:rsid w:val="00CE10D1"/>
    <w:rPr>
      <w:rFonts w:ascii="Times New Roman" w:eastAsia="Times New Roman" w:hAnsi="Times New Roman"/>
      <w:b/>
      <w:bCs/>
      <w:kern w:val="0"/>
      <w:sz w:val="24"/>
      <w14:ligatures w14:val="none"/>
    </w:rPr>
  </w:style>
  <w:style w:type="paragraph" w:styleId="BodyText">
    <w:name w:val="Body Text"/>
    <w:basedOn w:val="Normal"/>
    <w:link w:val="BodyTextChar"/>
    <w:uiPriority w:val="1"/>
    <w:qFormat/>
    <w:rsid w:val="00CE10D1"/>
    <w:rPr>
      <w:sz w:val="24"/>
      <w:szCs w:val="24"/>
    </w:rPr>
  </w:style>
  <w:style w:type="character" w:customStyle="1" w:styleId="BodyTextChar">
    <w:name w:val="Body Text Char"/>
    <w:basedOn w:val="DefaultParagraphFont"/>
    <w:link w:val="BodyText"/>
    <w:uiPriority w:val="1"/>
    <w:rsid w:val="00CE10D1"/>
    <w:rPr>
      <w:rFonts w:ascii="Times New Roman" w:eastAsia="Times New Roman" w:hAnsi="Times New Roman"/>
      <w:kern w:val="0"/>
      <w:sz w:val="24"/>
      <w14:ligatures w14:val="none"/>
    </w:rPr>
  </w:style>
  <w:style w:type="paragraph" w:styleId="Title">
    <w:name w:val="Title"/>
    <w:basedOn w:val="Normal"/>
    <w:link w:val="TitleChar"/>
    <w:uiPriority w:val="1"/>
    <w:qFormat/>
    <w:rsid w:val="00CE10D1"/>
    <w:pPr>
      <w:spacing w:before="212"/>
      <w:ind w:left="240" w:right="248" w:hanging="5"/>
      <w:jc w:val="center"/>
    </w:pPr>
    <w:rPr>
      <w:b/>
      <w:bCs/>
      <w:sz w:val="28"/>
      <w:szCs w:val="28"/>
    </w:rPr>
  </w:style>
  <w:style w:type="character" w:customStyle="1" w:styleId="TitleChar">
    <w:name w:val="Title Char"/>
    <w:basedOn w:val="DefaultParagraphFont"/>
    <w:link w:val="Title"/>
    <w:uiPriority w:val="1"/>
    <w:rsid w:val="00CE10D1"/>
    <w:rPr>
      <w:rFonts w:ascii="Times New Roman" w:eastAsia="Times New Roman" w:hAnsi="Times New Roman"/>
      <w:b/>
      <w:bCs/>
      <w:kern w:val="0"/>
      <w:sz w:val="28"/>
      <w:szCs w:val="28"/>
      <w14:ligatures w14:val="none"/>
    </w:rPr>
  </w:style>
  <w:style w:type="paragraph" w:styleId="ListParagraph">
    <w:name w:val="List Paragraph"/>
    <w:basedOn w:val="Normal"/>
    <w:link w:val="ListParagraphChar"/>
    <w:uiPriority w:val="34"/>
    <w:qFormat/>
    <w:rsid w:val="00CE10D1"/>
    <w:pPr>
      <w:spacing w:line="274" w:lineRule="exact"/>
      <w:ind w:left="836" w:hanging="724"/>
    </w:pPr>
  </w:style>
  <w:style w:type="character" w:customStyle="1" w:styleId="ListParagraphChar">
    <w:name w:val="List Paragraph Char"/>
    <w:basedOn w:val="DefaultParagraphFont"/>
    <w:link w:val="ListParagraph"/>
    <w:uiPriority w:val="34"/>
    <w:rsid w:val="00CE10D1"/>
    <w:rPr>
      <w:rFonts w:ascii="Times New Roman" w:eastAsia="Times New Roman" w:hAnsi="Times New Roman"/>
      <w:kern w:val="0"/>
      <w:szCs w:val="22"/>
      <w14:ligatures w14:val="none"/>
    </w:rPr>
  </w:style>
  <w:style w:type="paragraph" w:styleId="NormalWeb">
    <w:name w:val="Normal (Web)"/>
    <w:basedOn w:val="Normal"/>
    <w:uiPriority w:val="99"/>
    <w:semiHidden/>
    <w:unhideWhenUsed/>
    <w:rsid w:val="0061351B"/>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8412D2"/>
    <w:rPr>
      <w:b/>
      <w:bCs/>
    </w:rPr>
  </w:style>
  <w:style w:type="paragraph" w:styleId="Header">
    <w:name w:val="header"/>
    <w:basedOn w:val="Normal"/>
    <w:link w:val="HeaderChar"/>
    <w:uiPriority w:val="99"/>
    <w:unhideWhenUsed/>
    <w:rsid w:val="00895256"/>
    <w:pPr>
      <w:tabs>
        <w:tab w:val="center" w:pos="4680"/>
        <w:tab w:val="right" w:pos="9360"/>
      </w:tabs>
    </w:pPr>
  </w:style>
  <w:style w:type="character" w:customStyle="1" w:styleId="HeaderChar">
    <w:name w:val="Header Char"/>
    <w:basedOn w:val="DefaultParagraphFont"/>
    <w:link w:val="Header"/>
    <w:uiPriority w:val="99"/>
    <w:rsid w:val="00895256"/>
    <w:rPr>
      <w:rFonts w:ascii="Times New Roman" w:eastAsia="Times New Roman" w:hAnsi="Times New Roman"/>
      <w:kern w:val="0"/>
      <w:szCs w:val="22"/>
      <w14:ligatures w14:val="none"/>
    </w:rPr>
  </w:style>
  <w:style w:type="paragraph" w:styleId="Footer">
    <w:name w:val="footer"/>
    <w:basedOn w:val="Normal"/>
    <w:link w:val="FooterChar"/>
    <w:uiPriority w:val="99"/>
    <w:unhideWhenUsed/>
    <w:rsid w:val="00895256"/>
    <w:pPr>
      <w:tabs>
        <w:tab w:val="center" w:pos="4680"/>
        <w:tab w:val="right" w:pos="9360"/>
      </w:tabs>
    </w:pPr>
  </w:style>
  <w:style w:type="character" w:customStyle="1" w:styleId="FooterChar">
    <w:name w:val="Footer Char"/>
    <w:basedOn w:val="DefaultParagraphFont"/>
    <w:link w:val="Footer"/>
    <w:uiPriority w:val="99"/>
    <w:rsid w:val="00895256"/>
    <w:rPr>
      <w:rFonts w:ascii="Times New Roman" w:eastAsia="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4792">
      <w:bodyDiv w:val="1"/>
      <w:marLeft w:val="0"/>
      <w:marRight w:val="0"/>
      <w:marTop w:val="0"/>
      <w:marBottom w:val="0"/>
      <w:divBdr>
        <w:top w:val="none" w:sz="0" w:space="0" w:color="auto"/>
        <w:left w:val="none" w:sz="0" w:space="0" w:color="auto"/>
        <w:bottom w:val="none" w:sz="0" w:space="0" w:color="auto"/>
        <w:right w:val="none" w:sz="0" w:space="0" w:color="auto"/>
      </w:divBdr>
    </w:div>
    <w:div w:id="798887662">
      <w:bodyDiv w:val="1"/>
      <w:marLeft w:val="0"/>
      <w:marRight w:val="0"/>
      <w:marTop w:val="0"/>
      <w:marBottom w:val="0"/>
      <w:divBdr>
        <w:top w:val="none" w:sz="0" w:space="0" w:color="auto"/>
        <w:left w:val="none" w:sz="0" w:space="0" w:color="auto"/>
        <w:bottom w:val="none" w:sz="0" w:space="0" w:color="auto"/>
        <w:right w:val="none" w:sz="0" w:space="0" w:color="auto"/>
      </w:divBdr>
    </w:div>
    <w:div w:id="883180348">
      <w:bodyDiv w:val="1"/>
      <w:marLeft w:val="0"/>
      <w:marRight w:val="0"/>
      <w:marTop w:val="0"/>
      <w:marBottom w:val="0"/>
      <w:divBdr>
        <w:top w:val="none" w:sz="0" w:space="0" w:color="auto"/>
        <w:left w:val="none" w:sz="0" w:space="0" w:color="auto"/>
        <w:bottom w:val="none" w:sz="0" w:space="0" w:color="auto"/>
        <w:right w:val="none" w:sz="0" w:space="0" w:color="auto"/>
      </w:divBdr>
    </w:div>
    <w:div w:id="1032222131">
      <w:bodyDiv w:val="1"/>
      <w:marLeft w:val="0"/>
      <w:marRight w:val="0"/>
      <w:marTop w:val="0"/>
      <w:marBottom w:val="0"/>
      <w:divBdr>
        <w:top w:val="none" w:sz="0" w:space="0" w:color="auto"/>
        <w:left w:val="none" w:sz="0" w:space="0" w:color="auto"/>
        <w:bottom w:val="none" w:sz="0" w:space="0" w:color="auto"/>
        <w:right w:val="none" w:sz="0" w:space="0" w:color="auto"/>
      </w:divBdr>
    </w:div>
    <w:div w:id="1117329637">
      <w:bodyDiv w:val="1"/>
      <w:marLeft w:val="0"/>
      <w:marRight w:val="0"/>
      <w:marTop w:val="0"/>
      <w:marBottom w:val="0"/>
      <w:divBdr>
        <w:top w:val="none" w:sz="0" w:space="0" w:color="auto"/>
        <w:left w:val="none" w:sz="0" w:space="0" w:color="auto"/>
        <w:bottom w:val="none" w:sz="0" w:space="0" w:color="auto"/>
        <w:right w:val="none" w:sz="0" w:space="0" w:color="auto"/>
      </w:divBdr>
    </w:div>
    <w:div w:id="1677805777">
      <w:bodyDiv w:val="1"/>
      <w:marLeft w:val="0"/>
      <w:marRight w:val="0"/>
      <w:marTop w:val="0"/>
      <w:marBottom w:val="0"/>
      <w:divBdr>
        <w:top w:val="none" w:sz="0" w:space="0" w:color="auto"/>
        <w:left w:val="none" w:sz="0" w:space="0" w:color="auto"/>
        <w:bottom w:val="none" w:sz="0" w:space="0" w:color="auto"/>
        <w:right w:val="none" w:sz="0" w:space="0" w:color="auto"/>
      </w:divBdr>
    </w:div>
    <w:div w:id="180657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0DE709B-FDC7-4EAD-A561-B85B1A89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11</Pages>
  <Words>7775</Words>
  <Characters>53733</Characters>
  <Application>Microsoft Office Word</Application>
  <DocSecurity>0</DocSecurity>
  <Lines>2238</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rajab muhammad</dc:creator>
  <cp:keywords/>
  <dc:description/>
  <cp:lastModifiedBy>rajab muhammad</cp:lastModifiedBy>
  <cp:revision>23</cp:revision>
  <dcterms:created xsi:type="dcterms:W3CDTF">2024-11-09T13:14:00Z</dcterms:created>
  <dcterms:modified xsi:type="dcterms:W3CDTF">2024-11-10T06:09:00Z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4647dc91a197af2f0973608e391f7893f368f30b36bf35a194575d81abc3ddce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http://www.zotero.org/styles/chicago-fullnote-bibliography</vt:lpwstr>
  </property>
  <property fmtid="{D5CDD505-2E9C-101B-9397-08002B2CF9AE}" pid="14" name="Mendeley Recent Style Name 5_1">
    <vt:lpwstr>Chicago Manual of Style 17th edition (full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8769df8f-394a-3097-ab13-096dd0332c9a</vt:lpwstr>
  </property>
  <property fmtid="{D5CDD505-2E9C-101B-9397-08002B2CF9AE}" pid="25" name="Mendeley Citation Style_1">
    <vt:lpwstr>http://www.zotero.org/styles/harvard1</vt:lpwstr>
  </property>
</Properties>
</file>