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91BB3" w14:textId="2EF5DF77" w:rsidR="00A765F8" w:rsidRPr="00A765F8" w:rsidRDefault="00A765F8" w:rsidP="00A765F8">
      <w:pPr>
        <w:spacing w:line="360" w:lineRule="auto"/>
        <w:jc w:val="center"/>
        <w:rPr>
          <w:b/>
          <w:bCs/>
          <w:sz w:val="28"/>
          <w:szCs w:val="28"/>
        </w:rPr>
      </w:pPr>
      <w:r w:rsidRPr="00A765F8">
        <w:rPr>
          <w:b/>
          <w:bCs/>
          <w:sz w:val="28"/>
          <w:szCs w:val="28"/>
        </w:rPr>
        <w:t>Diskursus antara</w:t>
      </w:r>
      <w:r w:rsidRPr="00A765F8">
        <w:rPr>
          <w:b/>
          <w:bCs/>
          <w:sz w:val="28"/>
          <w:szCs w:val="28"/>
        </w:rPr>
        <w:t xml:space="preserve"> Providensia Allah </w:t>
      </w:r>
      <w:r w:rsidRPr="00A765F8">
        <w:rPr>
          <w:b/>
          <w:bCs/>
          <w:sz w:val="28"/>
          <w:szCs w:val="28"/>
        </w:rPr>
        <w:t>dan</w:t>
      </w:r>
      <w:r w:rsidRPr="00A765F8">
        <w:rPr>
          <w:b/>
          <w:bCs/>
          <w:sz w:val="28"/>
          <w:szCs w:val="28"/>
        </w:rPr>
        <w:t xml:space="preserve"> Pengalaman</w:t>
      </w:r>
      <w:r>
        <w:rPr>
          <w:b/>
          <w:bCs/>
          <w:sz w:val="28"/>
          <w:szCs w:val="28"/>
        </w:rPr>
        <w:t xml:space="preserve"> Kematian </w:t>
      </w:r>
      <w:proofErr w:type="gramStart"/>
      <w:r w:rsidRPr="00A765F8">
        <w:rPr>
          <w:b/>
          <w:bCs/>
          <w:sz w:val="28"/>
          <w:szCs w:val="28"/>
        </w:rPr>
        <w:t>Manusia :</w:t>
      </w:r>
      <w:proofErr w:type="gramEnd"/>
      <w:r>
        <w:rPr>
          <w:b/>
          <w:bCs/>
          <w:sz w:val="28"/>
          <w:szCs w:val="28"/>
        </w:rPr>
        <w:t xml:space="preserve"> </w:t>
      </w:r>
      <w:r w:rsidRPr="00A765F8">
        <w:rPr>
          <w:b/>
          <w:bCs/>
          <w:sz w:val="28"/>
          <w:szCs w:val="28"/>
        </w:rPr>
        <w:t>Suatu Realitas Paradoks</w:t>
      </w:r>
    </w:p>
    <w:p w14:paraId="45AFD0DD" w14:textId="28FBB907" w:rsidR="009A335B" w:rsidRPr="00565656" w:rsidRDefault="00A765F8" w:rsidP="000A4499">
      <w:pPr>
        <w:spacing w:line="240" w:lineRule="auto"/>
        <w:jc w:val="center"/>
        <w:rPr>
          <w:b/>
          <w:bCs/>
          <w:color w:val="000000" w:themeColor="text1"/>
        </w:rPr>
      </w:pPr>
      <w:r>
        <w:rPr>
          <w:b/>
          <w:bCs/>
          <w:color w:val="000000" w:themeColor="text1"/>
        </w:rPr>
        <w:t>Rolin Ferdilianto Sandelgus Taneo</w:t>
      </w:r>
    </w:p>
    <w:p w14:paraId="7E64F111" w14:textId="77777777" w:rsidR="000A4499" w:rsidRPr="00565656" w:rsidRDefault="000A4499" w:rsidP="000A4499">
      <w:pPr>
        <w:spacing w:before="0" w:beforeAutospacing="0" w:after="0" w:line="240" w:lineRule="auto"/>
        <w:jc w:val="center"/>
        <w:rPr>
          <w:b/>
          <w:bCs/>
          <w:color w:val="000000" w:themeColor="text1"/>
        </w:rPr>
      </w:pPr>
    </w:p>
    <w:p w14:paraId="109C6641" w14:textId="65B2769C" w:rsidR="00A765F8" w:rsidRDefault="00A765F8" w:rsidP="000A4499">
      <w:pPr>
        <w:spacing w:before="0" w:beforeAutospacing="0" w:after="0" w:line="276" w:lineRule="auto"/>
        <w:ind w:right="62" w:firstLine="561"/>
        <w:jc w:val="center"/>
        <w:rPr>
          <w:color w:val="000000" w:themeColor="text1"/>
          <w:sz w:val="22"/>
          <w:szCs w:val="22"/>
        </w:rPr>
      </w:pPr>
      <w:r>
        <w:rPr>
          <w:color w:val="000000" w:themeColor="text1"/>
          <w:sz w:val="22"/>
          <w:szCs w:val="22"/>
        </w:rPr>
        <w:t>Gereja Masehi Injili di Timor</w:t>
      </w:r>
      <w:r w:rsidR="00425DF9" w:rsidRPr="00565656">
        <w:rPr>
          <w:color w:val="000000" w:themeColor="text1"/>
          <w:sz w:val="22"/>
          <w:szCs w:val="22"/>
        </w:rPr>
        <w:t xml:space="preserve"> </w:t>
      </w:r>
    </w:p>
    <w:p w14:paraId="5C752271" w14:textId="69A85849" w:rsidR="00CE5CA4" w:rsidRDefault="00425DF9" w:rsidP="0051125D">
      <w:pPr>
        <w:spacing w:before="0" w:beforeAutospacing="0" w:after="0" w:line="276" w:lineRule="auto"/>
        <w:ind w:right="62" w:firstLine="561"/>
        <w:jc w:val="center"/>
        <w:rPr>
          <w:color w:val="000000" w:themeColor="text1"/>
        </w:rPr>
      </w:pPr>
      <w:r w:rsidRPr="00A765F8">
        <w:rPr>
          <w:color w:val="000000" w:themeColor="text1"/>
        </w:rPr>
        <w:t xml:space="preserve"> </w:t>
      </w:r>
      <w:hyperlink r:id="rId10" w:history="1">
        <w:r w:rsidR="00A765F8" w:rsidRPr="00A765F8">
          <w:rPr>
            <w:rStyle w:val="Hyperlink"/>
          </w:rPr>
          <w:t>rolintaneo0402@gmail.com</w:t>
        </w:r>
      </w:hyperlink>
      <w:r w:rsidR="00A765F8" w:rsidRPr="00A765F8">
        <w:rPr>
          <w:color w:val="000000" w:themeColor="text1"/>
        </w:rPr>
        <w:t xml:space="preserve"> </w:t>
      </w:r>
    </w:p>
    <w:p w14:paraId="7A4FD769" w14:textId="77777777" w:rsidR="0051125D" w:rsidRPr="0051125D" w:rsidRDefault="0051125D" w:rsidP="0051125D">
      <w:pPr>
        <w:spacing w:before="0" w:beforeAutospacing="0" w:after="0" w:line="276" w:lineRule="auto"/>
        <w:ind w:right="62" w:firstLine="561"/>
        <w:jc w:val="center"/>
        <w:rPr>
          <w:color w:val="000000" w:themeColor="text1"/>
        </w:rPr>
      </w:pPr>
    </w:p>
    <w:p w14:paraId="215996DC" w14:textId="6407D0C0" w:rsidR="00980E86" w:rsidRPr="00565656" w:rsidRDefault="00FB29FE" w:rsidP="0051125D">
      <w:pPr>
        <w:pStyle w:val="Wawasan14Abstrakjudul"/>
        <w:rPr>
          <w:color w:val="000000" w:themeColor="text1"/>
          <w:sz w:val="22"/>
          <w:szCs w:val="22"/>
        </w:rPr>
      </w:pPr>
      <w:r w:rsidRPr="00565656">
        <w:rPr>
          <w:color w:val="000000" w:themeColor="text1"/>
          <w:sz w:val="22"/>
          <w:szCs w:val="22"/>
        </w:rPr>
        <w:t xml:space="preserve">Abstract </w:t>
      </w:r>
    </w:p>
    <w:p w14:paraId="027FA557" w14:textId="77777777" w:rsidR="00A765F8" w:rsidRPr="00A765F8" w:rsidRDefault="00A765F8" w:rsidP="00A765F8">
      <w:pPr>
        <w:spacing w:line="360" w:lineRule="auto"/>
        <w:ind w:firstLine="0"/>
        <w:rPr>
          <w:i/>
          <w:iCs/>
          <w:sz w:val="22"/>
          <w:szCs w:val="22"/>
        </w:rPr>
      </w:pPr>
      <w:r w:rsidRPr="00A765F8">
        <w:rPr>
          <w:i/>
          <w:iCs/>
          <w:sz w:val="22"/>
          <w:szCs w:val="22"/>
        </w:rPr>
        <w:t xml:space="preserve">The Christian faith always offers a paradox.  Just look at the concept of Providence.  </w:t>
      </w:r>
      <w:proofErr w:type="gramStart"/>
      <w:r w:rsidRPr="00A765F8">
        <w:rPr>
          <w:i/>
          <w:iCs/>
          <w:sz w:val="22"/>
          <w:szCs w:val="22"/>
        </w:rPr>
        <w:t>On the one hand, the belief that God's providence is a certainty.</w:t>
      </w:r>
      <w:proofErr w:type="gramEnd"/>
      <w:r w:rsidRPr="00A765F8">
        <w:rPr>
          <w:i/>
          <w:iCs/>
          <w:sz w:val="22"/>
          <w:szCs w:val="22"/>
        </w:rPr>
        <w:t xml:space="preserve">  On the other hand, humans can challenge God's providence because they suffer and even die.  This situation puts humans in a dilemma.  Realizing this dilemma point, this article is intended to show this reality in a balanced way, both from the perspective of faith and also from the perspective of human experience as a sign of its existence in the world.  Finally, it is hoped that this article can be an academic contribution as well as a discourse on the Christian faith in understanding what suffering (death) is and how God continues to work in this event.  In order to complete this article, the writing method used by the author is literature study, which will clearly and concisely describe the main or essence of this article.</w:t>
      </w:r>
    </w:p>
    <w:p w14:paraId="2A5286D5" w14:textId="293B0A70" w:rsidR="009A335B" w:rsidRPr="0051125D" w:rsidRDefault="00A765F8" w:rsidP="0051125D">
      <w:pPr>
        <w:spacing w:line="360" w:lineRule="auto"/>
        <w:ind w:firstLine="0"/>
        <w:rPr>
          <w:b/>
          <w:i/>
          <w:iCs/>
          <w:sz w:val="22"/>
          <w:szCs w:val="22"/>
        </w:rPr>
      </w:pPr>
      <w:r w:rsidRPr="00A765F8">
        <w:rPr>
          <w:b/>
          <w:bCs/>
          <w:i/>
          <w:iCs/>
          <w:sz w:val="22"/>
          <w:szCs w:val="22"/>
        </w:rPr>
        <w:t>Keywords</w:t>
      </w:r>
      <w:r w:rsidRPr="00A765F8">
        <w:rPr>
          <w:i/>
          <w:iCs/>
          <w:sz w:val="22"/>
          <w:szCs w:val="22"/>
        </w:rPr>
        <w:t xml:space="preserve">: </w:t>
      </w:r>
      <w:r w:rsidRPr="00A765F8">
        <w:rPr>
          <w:b/>
          <w:i/>
          <w:iCs/>
          <w:sz w:val="22"/>
          <w:szCs w:val="22"/>
        </w:rPr>
        <w:t>Suffering, Death, Providence, God</w:t>
      </w:r>
    </w:p>
    <w:p w14:paraId="1AE04E76" w14:textId="77777777" w:rsidR="0051125D" w:rsidRDefault="0051125D" w:rsidP="00FB29FE">
      <w:pPr>
        <w:pStyle w:val="Wawasan14Abstrakjudul"/>
        <w:rPr>
          <w:color w:val="000000" w:themeColor="text1"/>
          <w:sz w:val="22"/>
          <w:szCs w:val="22"/>
        </w:rPr>
      </w:pPr>
    </w:p>
    <w:p w14:paraId="020F9E5D" w14:textId="2A2ED03F" w:rsidR="00980E86" w:rsidRPr="00565656" w:rsidRDefault="00FB29FE" w:rsidP="0051125D">
      <w:pPr>
        <w:pStyle w:val="Wawasan14Abstrakjudul"/>
        <w:rPr>
          <w:color w:val="000000" w:themeColor="text1"/>
          <w:sz w:val="22"/>
          <w:szCs w:val="22"/>
        </w:rPr>
      </w:pPr>
      <w:r w:rsidRPr="00565656">
        <w:rPr>
          <w:color w:val="000000" w:themeColor="text1"/>
          <w:sz w:val="22"/>
          <w:szCs w:val="22"/>
        </w:rPr>
        <w:t>Abstrak</w:t>
      </w:r>
    </w:p>
    <w:p w14:paraId="6FD6DDFF" w14:textId="77777777" w:rsidR="0051125D" w:rsidRDefault="00A765F8" w:rsidP="00A765F8">
      <w:pPr>
        <w:spacing w:line="360" w:lineRule="auto"/>
        <w:ind w:firstLine="0"/>
        <w:rPr>
          <w:sz w:val="22"/>
          <w:szCs w:val="22"/>
        </w:rPr>
      </w:pPr>
      <w:proofErr w:type="gramStart"/>
      <w:r w:rsidRPr="00A765F8">
        <w:rPr>
          <w:sz w:val="22"/>
          <w:szCs w:val="22"/>
        </w:rPr>
        <w:t>Iman Kristen selalu menawarkan suatu paradoks.</w:t>
      </w:r>
      <w:proofErr w:type="gramEnd"/>
      <w:r w:rsidRPr="00A765F8">
        <w:rPr>
          <w:sz w:val="22"/>
          <w:szCs w:val="22"/>
        </w:rPr>
        <w:t xml:space="preserve"> </w:t>
      </w:r>
      <w:proofErr w:type="gramStart"/>
      <w:r w:rsidRPr="00A765F8">
        <w:rPr>
          <w:sz w:val="22"/>
          <w:szCs w:val="22"/>
        </w:rPr>
        <w:t>Lihat saja pada konsep Providensia.</w:t>
      </w:r>
      <w:proofErr w:type="gramEnd"/>
      <w:r w:rsidRPr="00A765F8">
        <w:rPr>
          <w:sz w:val="22"/>
          <w:szCs w:val="22"/>
        </w:rPr>
        <w:t xml:space="preserve"> </w:t>
      </w:r>
      <w:proofErr w:type="gramStart"/>
      <w:r w:rsidRPr="00A765F8">
        <w:rPr>
          <w:sz w:val="22"/>
          <w:szCs w:val="22"/>
        </w:rPr>
        <w:t>Pada satu pihak, keyakinan bahwa pemeliharaan Allah itu sebuah kepastian.</w:t>
      </w:r>
      <w:proofErr w:type="gramEnd"/>
      <w:r w:rsidRPr="00A765F8">
        <w:rPr>
          <w:sz w:val="22"/>
          <w:szCs w:val="22"/>
        </w:rPr>
        <w:t xml:space="preserve"> Pada pihak lain, manusia dapat saja menggugat pemeliharaan Allah karena </w:t>
      </w:r>
      <w:proofErr w:type="gramStart"/>
      <w:r w:rsidRPr="00A765F8">
        <w:rPr>
          <w:sz w:val="22"/>
          <w:szCs w:val="22"/>
        </w:rPr>
        <w:t>ia</w:t>
      </w:r>
      <w:proofErr w:type="gramEnd"/>
      <w:r w:rsidRPr="00A765F8">
        <w:rPr>
          <w:sz w:val="22"/>
          <w:szCs w:val="22"/>
        </w:rPr>
        <w:t xml:space="preserve"> menderita bahkan mengalami kematian. </w:t>
      </w:r>
      <w:proofErr w:type="gramStart"/>
      <w:r w:rsidRPr="00A765F8">
        <w:rPr>
          <w:sz w:val="22"/>
          <w:szCs w:val="22"/>
        </w:rPr>
        <w:t>Situasi ini menempatkan manusia pada titik dilema.</w:t>
      </w:r>
      <w:proofErr w:type="gramEnd"/>
      <w:r w:rsidRPr="00A765F8">
        <w:rPr>
          <w:sz w:val="22"/>
          <w:szCs w:val="22"/>
        </w:rPr>
        <w:t xml:space="preserve"> </w:t>
      </w:r>
      <w:proofErr w:type="gramStart"/>
      <w:r w:rsidRPr="00A765F8">
        <w:rPr>
          <w:sz w:val="22"/>
          <w:szCs w:val="22"/>
        </w:rPr>
        <w:t>Menyadari titik dilema ini, maka tulisan ini dimaksudkan untuk memperlihatkan secara berimbang realitas ini, baik dari kacamata iman dan juga sudut pandang pengalaman manusia sebagai tanda eksistensinya dalam dunia.</w:t>
      </w:r>
      <w:proofErr w:type="gramEnd"/>
      <w:r w:rsidRPr="00A765F8">
        <w:rPr>
          <w:sz w:val="22"/>
          <w:szCs w:val="22"/>
        </w:rPr>
        <w:t xml:space="preserve"> Akhirnya, tulisan ini diharapkan dapat menjadi suatu kontribusi akademis juga wacana iman Kristen di dalam memahami </w:t>
      </w:r>
      <w:proofErr w:type="gramStart"/>
      <w:r w:rsidRPr="00A765F8">
        <w:rPr>
          <w:sz w:val="22"/>
          <w:szCs w:val="22"/>
        </w:rPr>
        <w:t>apa</w:t>
      </w:r>
      <w:proofErr w:type="gramEnd"/>
      <w:r w:rsidRPr="00A765F8">
        <w:rPr>
          <w:sz w:val="22"/>
          <w:szCs w:val="22"/>
        </w:rPr>
        <w:t xml:space="preserve"> itu penderitaan (kematian) dan bagaimana Allah tetap berkarya dalam peristiwa ini. Guna menyelesaikan tulisan ini maka metode penulisan yang dipakai penulis ialah studi pustaka, yang di dalamnya </w:t>
      </w:r>
      <w:proofErr w:type="gramStart"/>
      <w:r w:rsidRPr="00A765F8">
        <w:rPr>
          <w:sz w:val="22"/>
          <w:szCs w:val="22"/>
        </w:rPr>
        <w:t>akan</w:t>
      </w:r>
      <w:proofErr w:type="gramEnd"/>
      <w:r w:rsidRPr="00A765F8">
        <w:rPr>
          <w:sz w:val="22"/>
          <w:szCs w:val="22"/>
        </w:rPr>
        <w:t xml:space="preserve"> menggambarkan secara jelas dan ringkas pokok atau inti dari tulisan ini. </w:t>
      </w:r>
    </w:p>
    <w:p w14:paraId="1901BFF6" w14:textId="210F792C" w:rsidR="00A765F8" w:rsidRPr="0051125D" w:rsidRDefault="00A765F8" w:rsidP="00A765F8">
      <w:pPr>
        <w:spacing w:line="360" w:lineRule="auto"/>
        <w:ind w:firstLine="0"/>
        <w:rPr>
          <w:sz w:val="22"/>
          <w:szCs w:val="22"/>
        </w:rPr>
      </w:pPr>
      <w:r w:rsidRPr="00A765F8">
        <w:rPr>
          <w:b/>
          <w:bCs/>
          <w:sz w:val="22"/>
          <w:szCs w:val="22"/>
        </w:rPr>
        <w:t xml:space="preserve">Kata </w:t>
      </w:r>
      <w:proofErr w:type="gramStart"/>
      <w:r w:rsidRPr="00A765F8">
        <w:rPr>
          <w:b/>
          <w:bCs/>
          <w:sz w:val="22"/>
          <w:szCs w:val="22"/>
        </w:rPr>
        <w:t>Kunci :</w:t>
      </w:r>
      <w:proofErr w:type="gramEnd"/>
      <w:r w:rsidRPr="00A765F8">
        <w:rPr>
          <w:b/>
          <w:sz w:val="22"/>
          <w:szCs w:val="22"/>
        </w:rPr>
        <w:t xml:space="preserve"> Penderitaan, Kematian, Providensia, Allah</w:t>
      </w:r>
    </w:p>
    <w:p w14:paraId="290D7061" w14:textId="08F91875" w:rsidR="003A657F" w:rsidRPr="00565656" w:rsidRDefault="003A657F" w:rsidP="0051125D">
      <w:pPr>
        <w:pStyle w:val="Wawasan2Heading1Pendahuluandll"/>
        <w:spacing w:before="120" w:beforeAutospacing="0" w:after="0" w:afterAutospacing="0" w:line="360" w:lineRule="auto"/>
        <w:ind w:left="0" w:firstLine="0"/>
        <w:rPr>
          <w:color w:val="000000" w:themeColor="text1"/>
        </w:rPr>
      </w:pPr>
      <w:r w:rsidRPr="00565656">
        <w:rPr>
          <w:color w:val="000000" w:themeColor="text1"/>
        </w:rPr>
        <w:lastRenderedPageBreak/>
        <w:t>PENDAHULUAN</w:t>
      </w:r>
    </w:p>
    <w:p w14:paraId="556A7A20" w14:textId="77777777" w:rsidR="0051125D" w:rsidRPr="00053E57" w:rsidRDefault="0051125D" w:rsidP="0051125D">
      <w:pPr>
        <w:spacing w:line="360" w:lineRule="auto"/>
      </w:pPr>
      <w:proofErr w:type="gramStart"/>
      <w:r w:rsidRPr="00053E57">
        <w:t>Magnis Suseno dalam bukunya berjudul Menalar Tuhan mengemukakan tentang salah satu karakter manusia yang sulit untuk disangkali yaitu selalu bertanya.</w:t>
      </w:r>
      <w:proofErr w:type="gramEnd"/>
      <w:r w:rsidRPr="00053E57">
        <w:t xml:space="preserve"> </w:t>
      </w:r>
      <w:proofErr w:type="gramStart"/>
      <w:r w:rsidRPr="00053E57">
        <w:t>Berikut adalah tesisnya, “</w:t>
      </w:r>
      <w:r w:rsidRPr="00053E57">
        <w:rPr>
          <w:i/>
          <w:iCs/>
        </w:rPr>
        <w:t>Manusia adalah makhluk yang bertanya.</w:t>
      </w:r>
      <w:proofErr w:type="gramEnd"/>
      <w:r w:rsidRPr="00053E57">
        <w:rPr>
          <w:i/>
          <w:iCs/>
        </w:rPr>
        <w:t xml:space="preserve"> </w:t>
      </w:r>
      <w:proofErr w:type="gramStart"/>
      <w:r w:rsidRPr="00053E57">
        <w:rPr>
          <w:i/>
          <w:iCs/>
        </w:rPr>
        <w:t>Ia</w:t>
      </w:r>
      <w:proofErr w:type="gramEnd"/>
      <w:r w:rsidRPr="00053E57">
        <w:rPr>
          <w:i/>
          <w:iCs/>
        </w:rPr>
        <w:t xml:space="preserve"> selalu bertanya pada apapun yang berhadapan dengannya dipertanyakannya. </w:t>
      </w:r>
      <w:proofErr w:type="gramStart"/>
      <w:r w:rsidRPr="00053E57">
        <w:rPr>
          <w:i/>
          <w:iCs/>
        </w:rPr>
        <w:t>Manusia adalah makhluk yang tidak pernah sampai.</w:t>
      </w:r>
      <w:proofErr w:type="gramEnd"/>
      <w:r w:rsidRPr="00053E57">
        <w:rPr>
          <w:i/>
          <w:iCs/>
        </w:rPr>
        <w:t xml:space="preserve"> Tak ada pengetahuan </w:t>
      </w:r>
      <w:proofErr w:type="gramStart"/>
      <w:r w:rsidRPr="00053E57">
        <w:rPr>
          <w:i/>
          <w:iCs/>
        </w:rPr>
        <w:t>apa</w:t>
      </w:r>
      <w:proofErr w:type="gramEnd"/>
      <w:r w:rsidRPr="00053E57">
        <w:rPr>
          <w:i/>
          <w:iCs/>
        </w:rPr>
        <w:t xml:space="preserve"> pun yang bisa membuatnya tidak mau bertanya lebih lanjut. </w:t>
      </w:r>
      <w:proofErr w:type="gramStart"/>
      <w:r w:rsidRPr="00053E57">
        <w:rPr>
          <w:i/>
          <w:iCs/>
        </w:rPr>
        <w:t>Mengapa manusia demikian?</w:t>
      </w:r>
      <w:proofErr w:type="gramEnd"/>
      <w:r w:rsidRPr="00053E57">
        <w:rPr>
          <w:i/>
          <w:iCs/>
        </w:rPr>
        <w:t xml:space="preserve"> Karena </w:t>
      </w:r>
      <w:proofErr w:type="gramStart"/>
      <w:r w:rsidRPr="00053E57">
        <w:rPr>
          <w:i/>
          <w:iCs/>
        </w:rPr>
        <w:t>ia</w:t>
      </w:r>
      <w:proofErr w:type="gramEnd"/>
      <w:r w:rsidRPr="00053E57">
        <w:rPr>
          <w:i/>
          <w:iCs/>
        </w:rPr>
        <w:t xml:space="preserve"> memang memerlukan pengetahuan. </w:t>
      </w:r>
      <w:proofErr w:type="gramStart"/>
      <w:r w:rsidRPr="00053E57">
        <w:rPr>
          <w:i/>
          <w:iCs/>
        </w:rPr>
        <w:t>Ada dua kenyataan pada manusia yang tampaknya berlawanan dan yang 1nembuatnya selalu ingin mengetahui Lebih jauh.</w:t>
      </w:r>
      <w:proofErr w:type="gramEnd"/>
      <w:r w:rsidRPr="00053E57">
        <w:rPr>
          <w:i/>
          <w:iCs/>
        </w:rPr>
        <w:t xml:space="preserve"> </w:t>
      </w:r>
      <w:proofErr w:type="gramStart"/>
      <w:r w:rsidRPr="00053E57">
        <w:rPr>
          <w:i/>
          <w:iCs/>
        </w:rPr>
        <w:t>Pertama tentu karena hanya dengan tahu manusia dapat bertindak.</w:t>
      </w:r>
      <w:proofErr w:type="gramEnd"/>
      <w:r w:rsidRPr="00053E57">
        <w:rPr>
          <w:i/>
          <w:iCs/>
        </w:rPr>
        <w:t xml:space="preserve"> Kedua, yang khas bagi manusia adalah bahwa </w:t>
      </w:r>
      <w:proofErr w:type="gramStart"/>
      <w:r w:rsidRPr="00053E57">
        <w:rPr>
          <w:i/>
          <w:iCs/>
        </w:rPr>
        <w:t>ia</w:t>
      </w:r>
      <w:proofErr w:type="gramEnd"/>
      <w:r w:rsidRPr="00053E57">
        <w:rPr>
          <w:i/>
          <w:iCs/>
        </w:rPr>
        <w:t xml:space="preserve"> selalu mau tahu lebih jauh. Itu karena sifat manusia yang kedua: Manusia berwawasan tak terbatas. </w:t>
      </w:r>
      <w:proofErr w:type="gramStart"/>
      <w:r w:rsidRPr="00053E57">
        <w:rPr>
          <w:i/>
          <w:iCs/>
        </w:rPr>
        <w:t>Pengetahuan manusia selalu terbatas.</w:t>
      </w:r>
      <w:proofErr w:type="gramEnd"/>
      <w:r w:rsidRPr="00053E57">
        <w:rPr>
          <w:i/>
          <w:iCs/>
        </w:rPr>
        <w:t xml:space="preserve"> </w:t>
      </w:r>
      <w:proofErr w:type="gramStart"/>
      <w:r w:rsidRPr="00053E57">
        <w:rPr>
          <w:i/>
          <w:iCs/>
        </w:rPr>
        <w:t>Tetapi wawasannya tidak terbatas.</w:t>
      </w:r>
      <w:proofErr w:type="gramEnd"/>
      <w:r w:rsidRPr="00053E57">
        <w:rPr>
          <w:i/>
          <w:iCs/>
        </w:rPr>
        <w:t xml:space="preserve"> </w:t>
      </w:r>
      <w:proofErr w:type="gramStart"/>
      <w:r w:rsidRPr="00053E57">
        <w:rPr>
          <w:i/>
          <w:iCs/>
        </w:rPr>
        <w:t>Maka tak pernah ada pengetahuan yang dapat memenuhi cakrawala perhatiannya, dan karena itu manusia bertanya terus</w:t>
      </w:r>
      <w:r w:rsidRPr="00053E57">
        <w:t>.</w:t>
      </w:r>
      <w:proofErr w:type="gramEnd"/>
      <w:r w:rsidRPr="00053E57">
        <w:rPr>
          <w:rStyle w:val="FootnoteReference"/>
        </w:rPr>
        <w:footnoteReference w:id="1"/>
      </w:r>
    </w:p>
    <w:p w14:paraId="70DC052C" w14:textId="77777777" w:rsidR="0051125D" w:rsidRPr="00053E57" w:rsidRDefault="0051125D" w:rsidP="0051125D">
      <w:pPr>
        <w:spacing w:line="360" w:lineRule="auto"/>
        <w:ind w:firstLine="720"/>
      </w:pPr>
      <w:r w:rsidRPr="00053E57">
        <w:t xml:space="preserve">Manusia adalah makhluk yang bertanya, dan karena itu pertanyaan manusia pada sesuatu realitas tentu </w:t>
      </w:r>
      <w:proofErr w:type="gramStart"/>
      <w:r w:rsidRPr="00053E57">
        <w:t>akan</w:t>
      </w:r>
      <w:proofErr w:type="gramEnd"/>
      <w:r w:rsidRPr="00053E57">
        <w:t xml:space="preserve"> terus-menerus ada. </w:t>
      </w:r>
      <w:proofErr w:type="gramStart"/>
      <w:r w:rsidRPr="00053E57">
        <w:t>Termasuk di dalamnya pertanyaan mengapa manusia harus menderita dan mengapa pula Tuhan</w:t>
      </w:r>
      <w:r>
        <w:t xml:space="preserve"> (bisa juga dibaca Allah) </w:t>
      </w:r>
      <w:r w:rsidRPr="00053E57">
        <w:t>yang disebut sebagai yang ada bersama manusia itu justru seperti diam dan terus-menerus membiarkan manusia tetap ada dalam penderitaan yang sementara menggerogoti dirinya.</w:t>
      </w:r>
      <w:proofErr w:type="gramEnd"/>
      <w:r w:rsidRPr="00053E57">
        <w:t xml:space="preserve"> </w:t>
      </w:r>
    </w:p>
    <w:p w14:paraId="43BF6A3C" w14:textId="77777777" w:rsidR="0051125D" w:rsidRPr="00053E57" w:rsidRDefault="0051125D" w:rsidP="0051125D">
      <w:pPr>
        <w:spacing w:line="360" w:lineRule="auto"/>
        <w:ind w:firstLine="720"/>
      </w:pPr>
      <w:r w:rsidRPr="00053E57">
        <w:t xml:space="preserve">Tak dapat disangkal bahwa pertanyaan tentang mengapa manusia menderita dan di manakah Tuhan </w:t>
      </w:r>
      <w:proofErr w:type="gramStart"/>
      <w:r w:rsidRPr="00053E57">
        <w:t>akan</w:t>
      </w:r>
      <w:proofErr w:type="gramEnd"/>
      <w:r w:rsidRPr="00053E57">
        <w:t xml:space="preserve"> membawa manusia pada penyangkalan akan eksistensi Tuhan. </w:t>
      </w:r>
      <w:proofErr w:type="gramStart"/>
      <w:r w:rsidRPr="00053E57">
        <w:t>Sebut saja misalnya Friedrich Nietzsche.</w:t>
      </w:r>
      <w:proofErr w:type="gramEnd"/>
      <w:r w:rsidRPr="00053E57">
        <w:t xml:space="preserve"> </w:t>
      </w:r>
      <w:proofErr w:type="gramStart"/>
      <w:r w:rsidRPr="00053E57">
        <w:t>Ia</w:t>
      </w:r>
      <w:proofErr w:type="gramEnd"/>
      <w:r w:rsidRPr="00053E57">
        <w:t xml:space="preserve"> adalah seorang pemikir besar yang menolak eksistensi Tuhan. </w:t>
      </w:r>
      <w:proofErr w:type="gramStart"/>
      <w:r w:rsidRPr="00053E57">
        <w:t>Baginya, Tuhan itu sudah mati.</w:t>
      </w:r>
      <w:proofErr w:type="gramEnd"/>
      <w:r w:rsidRPr="00053E57">
        <w:t xml:space="preserve"> </w:t>
      </w:r>
      <w:proofErr w:type="gramStart"/>
      <w:r w:rsidRPr="00053E57">
        <w:t>Pandangannya tentang Tuhan sudah mati adalah sebuah serangan terhadap agama dan moralitas Kekristenan.</w:t>
      </w:r>
      <w:proofErr w:type="gramEnd"/>
      <w:r w:rsidRPr="00053E57">
        <w:t xml:space="preserve"> </w:t>
      </w:r>
      <w:proofErr w:type="gramStart"/>
      <w:r w:rsidRPr="00053E57">
        <w:t>Baginya Kekristenan itu mengajarkan moralitas budak.</w:t>
      </w:r>
      <w:proofErr w:type="gramEnd"/>
      <w:r w:rsidRPr="00053E57">
        <w:rPr>
          <w:rStyle w:val="FootnoteReference"/>
        </w:rPr>
        <w:footnoteReference w:id="2"/>
      </w:r>
      <w:r w:rsidRPr="00053E57">
        <w:t xml:space="preserve"> </w:t>
      </w:r>
    </w:p>
    <w:p w14:paraId="215B6660" w14:textId="77777777" w:rsidR="0051125D" w:rsidRPr="00053E57" w:rsidRDefault="0051125D" w:rsidP="0051125D">
      <w:pPr>
        <w:spacing w:line="360" w:lineRule="auto"/>
        <w:ind w:firstLine="720"/>
      </w:pPr>
      <w:proofErr w:type="gramStart"/>
      <w:r w:rsidRPr="00053E57">
        <w:lastRenderedPageBreak/>
        <w:t>Moralitas yang hanya membuat jemaatnya terus diikat oleh indoktrinasi tentang keberadaan Tuhan.</w:t>
      </w:r>
      <w:proofErr w:type="gramEnd"/>
      <w:r w:rsidRPr="00053E57">
        <w:t xml:space="preserve"> </w:t>
      </w:r>
      <w:proofErr w:type="gramStart"/>
      <w:r w:rsidRPr="00053E57">
        <w:t>Manusia taat sepenuhnya pada hukum agama yang ada karena dilihat telah direkonstruksi oleh Tuhan.</w:t>
      </w:r>
      <w:proofErr w:type="gramEnd"/>
      <w:r w:rsidRPr="00053E57">
        <w:t xml:space="preserve"> Hanya dengan matinya Tuhan maka manusia bebas menentukan pilihan atas </w:t>
      </w:r>
      <w:proofErr w:type="gramStart"/>
      <w:r w:rsidRPr="00053E57">
        <w:t>apa</w:t>
      </w:r>
      <w:proofErr w:type="gramEnd"/>
      <w:r w:rsidRPr="00053E57">
        <w:t xml:space="preserve"> yang harus ia lakukan. Dengan kata </w:t>
      </w:r>
      <w:proofErr w:type="gramStart"/>
      <w:r w:rsidRPr="00053E57">
        <w:t>lain</w:t>
      </w:r>
      <w:proofErr w:type="gramEnd"/>
      <w:r w:rsidRPr="00053E57">
        <w:t xml:space="preserve">, pandangan tentang kematian Tuhan ini membuka sebuah paham baru tentang manusia yang menggeser keberadaan Tuhan dan mengambil alih seluruh peristiwa yang ada dalam hidupnya. Pandangan Nietzsche ini kemudian bisa disimpulkan bahwa sebenarnya dengan adanya Tuhan manusia </w:t>
      </w:r>
      <w:proofErr w:type="gramStart"/>
      <w:r w:rsidRPr="00053E57">
        <w:t>akan</w:t>
      </w:r>
      <w:proofErr w:type="gramEnd"/>
      <w:r w:rsidRPr="00053E57">
        <w:t xml:space="preserve"> terus menderita. </w:t>
      </w:r>
      <w:proofErr w:type="gramStart"/>
      <w:r w:rsidRPr="00053E57">
        <w:t>Hanya dengan matinya Tuhan, manusia tidak lagi menjadi tawanan Tuhan.</w:t>
      </w:r>
      <w:proofErr w:type="gramEnd"/>
    </w:p>
    <w:p w14:paraId="4A733DE7" w14:textId="77777777" w:rsidR="0051125D" w:rsidRDefault="0051125D" w:rsidP="0051125D">
      <w:pPr>
        <w:spacing w:line="360" w:lineRule="auto"/>
        <w:ind w:firstLine="720"/>
      </w:pPr>
      <w:r w:rsidRPr="00053E57">
        <w:t xml:space="preserve">Meski Nietzsche begitu gencar menolak eksistensi Tuhan, tetapi di sisi lain kita juga melihat bahwa ternyata masih banyak manusia yang tetap meyakini Tuhan sebagai realitas yang tertinggi. </w:t>
      </w:r>
      <w:proofErr w:type="gramStart"/>
      <w:r w:rsidRPr="00053E57">
        <w:t>Malah, justru dengan adanya penderitaan manusia makin bertaqwa dan sepenuhnya bergantung pada kemahakuasaan Tuhan.</w:t>
      </w:r>
      <w:proofErr w:type="gramEnd"/>
      <w:r w:rsidRPr="00053E57">
        <w:t xml:space="preserve"> Dengan hal ini tentu saja kita </w:t>
      </w:r>
      <w:proofErr w:type="gramStart"/>
      <w:r w:rsidRPr="00053E57">
        <w:t>akan</w:t>
      </w:r>
      <w:proofErr w:type="gramEnd"/>
      <w:r w:rsidRPr="00053E57">
        <w:t xml:space="preserve"> melihat bahwa ternyata ada pesan paradoks dari penderitaan manusia dan tentang kehadiran Tuhan. </w:t>
      </w:r>
    </w:p>
    <w:p w14:paraId="421A9644" w14:textId="77777777" w:rsidR="0051125D" w:rsidRDefault="0051125D" w:rsidP="0051125D">
      <w:pPr>
        <w:spacing w:line="360" w:lineRule="auto"/>
        <w:ind w:firstLine="720"/>
      </w:pPr>
      <w:r>
        <w:t xml:space="preserve">Tulisan ini juga </w:t>
      </w:r>
      <w:proofErr w:type="gramStart"/>
      <w:r>
        <w:t>akan</w:t>
      </w:r>
      <w:proofErr w:type="gramEnd"/>
      <w:r>
        <w:t xml:space="preserve"> melengkapi beberapa publikasi yang telah ada yang khusus membahas topik providensia. </w:t>
      </w:r>
      <w:proofErr w:type="gramStart"/>
      <w:r>
        <w:t>Sebut saja, publikasi dari Surianto Manullang yang menulis tentang Providensia Allah dalam konteks penderitaan Ayub.</w:t>
      </w:r>
      <w:proofErr w:type="gramEnd"/>
      <w:r>
        <w:t xml:space="preserve"> Tesis yang </w:t>
      </w:r>
      <w:proofErr w:type="gramStart"/>
      <w:r>
        <w:t>ia</w:t>
      </w:r>
      <w:proofErr w:type="gramEnd"/>
      <w:r>
        <w:t xml:space="preserve"> kemukakan dalam publikasinya itu ialah bahwa melalui penderitaan itulah maka manusia dapat berjumpa dengan Allah. Pada pihak yang </w:t>
      </w:r>
      <w:proofErr w:type="gramStart"/>
      <w:r>
        <w:t>lain</w:t>
      </w:r>
      <w:proofErr w:type="gramEnd"/>
      <w:r>
        <w:t>, penderitaan itu juga lantas bisa membawa manusia pada kesadaran tentang keterbatasan yang ada pada dirinya dan lalu menggantungkan harapan seutuhnya kepada Allah sebagai sumber pertolongan.</w:t>
      </w:r>
      <w:r>
        <w:rPr>
          <w:rStyle w:val="FootnoteReference"/>
        </w:rPr>
        <w:footnoteReference w:id="3"/>
      </w:r>
    </w:p>
    <w:p w14:paraId="11039642" w14:textId="77777777" w:rsidR="0051125D" w:rsidRDefault="0051125D" w:rsidP="0051125D">
      <w:pPr>
        <w:spacing w:line="360" w:lineRule="auto"/>
        <w:ind w:firstLine="720"/>
      </w:pPr>
      <w:proofErr w:type="gramStart"/>
      <w:r>
        <w:t xml:space="preserve">Publikasi lainnya ialah dari </w:t>
      </w:r>
      <w:r w:rsidRPr="009A074D">
        <w:t xml:space="preserve">Jusuf Kelelufna berjudul </w:t>
      </w:r>
      <w:r>
        <w:t>“A</w:t>
      </w:r>
      <w:r w:rsidRPr="009A074D">
        <w:t>llah Segala Maha di Tengah Fenomena Kekerasan dan Penderitaan Orang Saleh</w:t>
      </w:r>
      <w:r>
        <w:t>”.</w:t>
      </w:r>
      <w:proofErr w:type="gramEnd"/>
      <w:r>
        <w:t xml:space="preserve"> </w:t>
      </w:r>
      <w:r w:rsidRPr="009A074D">
        <w:t xml:space="preserve">Dalam sub bahasan mengenai Penderitaan dan Providensia Allah, Kelelufna berargumen bahwa konsekuensi </w:t>
      </w:r>
      <w:r w:rsidRPr="009A074D">
        <w:lastRenderedPageBreak/>
        <w:t xml:space="preserve">logis dari pembahasan di seputaran topik providensia ialah tidak dapat terhindar dari diskusi tentang kejahatan dan penderitaan. </w:t>
      </w:r>
      <w:proofErr w:type="gramStart"/>
      <w:r w:rsidRPr="009A074D">
        <w:t>Penderitaan dan kejahatan itu bisa sampai terjadi karena faktor kehendak bebas dari diri manusia.</w:t>
      </w:r>
      <w:proofErr w:type="gramEnd"/>
      <w:r w:rsidRPr="009A074D">
        <w:t xml:space="preserve"> </w:t>
      </w:r>
      <w:proofErr w:type="gramStart"/>
      <w:r w:rsidRPr="009A074D">
        <w:t>Jika kehendak bebas itu terlampau besar menguasai kehidupan manusia maka itu sudah tentu menandakan bahwa Allah gagal di dalam mencegah moralitas manusia dalam hal mengendalikan kehendak bebas.</w:t>
      </w:r>
      <w:proofErr w:type="gramEnd"/>
      <w:r>
        <w:rPr>
          <w:rStyle w:val="FootnoteReference"/>
        </w:rPr>
        <w:footnoteReference w:id="4"/>
      </w:r>
    </w:p>
    <w:p w14:paraId="51A81680" w14:textId="77777777" w:rsidR="0051125D" w:rsidRDefault="0051125D" w:rsidP="0051125D">
      <w:pPr>
        <w:spacing w:line="360" w:lineRule="auto"/>
        <w:ind w:firstLine="720"/>
      </w:pPr>
      <w:r>
        <w:t xml:space="preserve">Terakhir, publikasi paling mutakhir mengenai providensia ialah dari tulisannya Oda J. Widianing bertajuk “Pancasila sebagai Providensia Allah bagi Kekristenan di Indonesia”. </w:t>
      </w:r>
      <w:proofErr w:type="gramStart"/>
      <w:r>
        <w:t>Tulisan ini menarik sebab fokus penekanannya berbeda dari dua publikasi sebelumnya yang telah dipaparkan.</w:t>
      </w:r>
      <w:proofErr w:type="gramEnd"/>
      <w:r>
        <w:t xml:space="preserve"> </w:t>
      </w:r>
      <w:proofErr w:type="gramStart"/>
      <w:r>
        <w:t>Sifatnya pun lebih kontekstual keindonesiaan.</w:t>
      </w:r>
      <w:proofErr w:type="gramEnd"/>
      <w:r>
        <w:t xml:space="preserve"> Widianing setuju dengan pandangan bahwa providensia itu berkaitan dengan tindakan pemeliharaan dan </w:t>
      </w:r>
      <w:proofErr w:type="gramStart"/>
      <w:r>
        <w:t>pekerjaan  Allah</w:t>
      </w:r>
      <w:proofErr w:type="gramEnd"/>
      <w:r>
        <w:t xml:space="preserve"> atas sejarah perjalanan dunia dan umat manusia. Karena itu, dapatlah disimpulkan bahwa proses perumusan Pancasila juga adalah bagian dari sejarah Allah memimpin para perumus itu untuk menghasilkan suatu pikiran bernas soal bagaimana merawat masa depan Indonesia. </w:t>
      </w:r>
      <w:proofErr w:type="gramStart"/>
      <w:r>
        <w:t>Jika hari ini, Indonesia masih eksis sebagai bangsa yang mampu menangkal paham yang memecah belah maka itu pun adalah bagian dari pemeliharaan Allah atas bangsa Indonesia.</w:t>
      </w:r>
      <w:proofErr w:type="gramEnd"/>
      <w:r>
        <w:rPr>
          <w:rStyle w:val="FootnoteReference"/>
        </w:rPr>
        <w:footnoteReference w:id="5"/>
      </w:r>
    </w:p>
    <w:p w14:paraId="38741301" w14:textId="77777777" w:rsidR="0051125D" w:rsidRPr="008D1F7F" w:rsidRDefault="0051125D" w:rsidP="0051125D">
      <w:pPr>
        <w:spacing w:line="360" w:lineRule="auto"/>
        <w:ind w:firstLine="720"/>
      </w:pPr>
      <w:r>
        <w:t xml:space="preserve">  </w:t>
      </w:r>
      <w:proofErr w:type="gramStart"/>
      <w:r>
        <w:t>Tulisan ini melengkapi publikasi yang sudah disebutkan di atas fokusnya ada pada isu kematian yang bagi Penulis dapat dilihat sebagai ancaman eksistensial dan pemicu penderitaan.</w:t>
      </w:r>
      <w:proofErr w:type="gramEnd"/>
      <w:r>
        <w:t xml:space="preserve"> </w:t>
      </w:r>
      <w:proofErr w:type="gramStart"/>
      <w:r>
        <w:t>Jika pada tulisan pertama dan kedua berfokus pada narasi Ayub dan isu kekerasan, sedangkan publikasi ketiga soal kontekstualisasi providensia Allah dalam konteks Indonesia maka tulisan ini memahami kematian dan pemeliharaan Allah sebagai kenyataan paradoks.</w:t>
      </w:r>
      <w:proofErr w:type="gramEnd"/>
      <w:r>
        <w:t xml:space="preserve"> Alasan </w:t>
      </w:r>
      <w:proofErr w:type="gramStart"/>
      <w:r>
        <w:t>lain</w:t>
      </w:r>
      <w:proofErr w:type="gramEnd"/>
      <w:r>
        <w:t xml:space="preserve"> daging penulisan topik ini karena Penulis merupakan seorang alumni Sekolah teologi yang sementara menjalani masa Calon Vikaris di salah satu jemaat GMIT. Ketika mengkhotbahkan Firman Tuhan dalam ibadah penghiburan bagi keluarga berduka ada kegelisahan sendiri tentang bagaimana menyelaraskan tentang </w:t>
      </w:r>
      <w:r>
        <w:lastRenderedPageBreak/>
        <w:t xml:space="preserve">paham bahwa benar Allah memelihara hidup manusia tetapi di pihak </w:t>
      </w:r>
      <w:proofErr w:type="gramStart"/>
      <w:r>
        <w:t>lain</w:t>
      </w:r>
      <w:proofErr w:type="gramEnd"/>
      <w:r>
        <w:t xml:space="preserve"> ada kematian? </w:t>
      </w:r>
      <w:proofErr w:type="gramStart"/>
      <w:r>
        <w:t>Ini menjadi sebuah titik dilema.</w:t>
      </w:r>
      <w:proofErr w:type="gramEnd"/>
      <w:r>
        <w:t xml:space="preserve"> </w:t>
      </w:r>
      <w:proofErr w:type="gramStart"/>
      <w:r>
        <w:t>Karenanya, tulisan ini amat diharapkan bisa memberi sumbangan bagi pertumbuhan iman bagi manusia yang bergumul dengan kematian dan bagaimana dalam Gumul tersebut, iman dimantapkan untuk memandang pada Allah.</w:t>
      </w:r>
      <w:proofErr w:type="gramEnd"/>
      <w:r>
        <w:t xml:space="preserve"> </w:t>
      </w:r>
    </w:p>
    <w:p w14:paraId="5809D36C" w14:textId="77777777" w:rsidR="0051125D" w:rsidRDefault="0051125D" w:rsidP="0051125D">
      <w:pPr>
        <w:spacing w:line="360" w:lineRule="auto"/>
        <w:ind w:firstLine="0"/>
        <w:rPr>
          <w:b/>
          <w:bCs/>
        </w:rPr>
      </w:pPr>
      <w:r>
        <w:rPr>
          <w:b/>
          <w:bCs/>
        </w:rPr>
        <w:t>M</w:t>
      </w:r>
      <w:r w:rsidRPr="0041421B">
        <w:rPr>
          <w:b/>
          <w:bCs/>
        </w:rPr>
        <w:t>ETODE PENULISAN</w:t>
      </w:r>
    </w:p>
    <w:p w14:paraId="0C00A9B5" w14:textId="77777777" w:rsidR="0051125D" w:rsidRPr="00715BA7" w:rsidRDefault="0051125D" w:rsidP="0051125D">
      <w:pPr>
        <w:spacing w:line="360" w:lineRule="auto"/>
      </w:pPr>
      <w:proofErr w:type="gramStart"/>
      <w:r>
        <w:t>Metode penulisan yang dipakai dalam menyelesaikan artikel ini ialah metode studi pustaka.</w:t>
      </w:r>
      <w:proofErr w:type="gramEnd"/>
      <w:r>
        <w:t xml:space="preserve"> Karena itu, rujukan-rujukan literatur yang dipakai adalah rujukan selektif yang mendukung isu atau pokok bahasan yang </w:t>
      </w:r>
      <w:proofErr w:type="gramStart"/>
      <w:r>
        <w:t>akan</w:t>
      </w:r>
      <w:proofErr w:type="gramEnd"/>
      <w:r>
        <w:t xml:space="preserve"> dibahas secara komprehensif dalam tulisan ini. </w:t>
      </w:r>
    </w:p>
    <w:p w14:paraId="107B4592" w14:textId="77777777" w:rsidR="0051125D" w:rsidRPr="00987C21" w:rsidRDefault="0051125D" w:rsidP="0051125D">
      <w:pPr>
        <w:spacing w:line="360" w:lineRule="auto"/>
        <w:ind w:firstLine="0"/>
        <w:rPr>
          <w:b/>
          <w:bCs/>
        </w:rPr>
      </w:pPr>
      <w:r w:rsidRPr="00053E57">
        <w:rPr>
          <w:b/>
          <w:bCs/>
        </w:rPr>
        <w:t>PEMBAHASAN</w:t>
      </w:r>
    </w:p>
    <w:p w14:paraId="6428AA15" w14:textId="77777777" w:rsidR="0051125D" w:rsidRPr="0051125D" w:rsidRDefault="0051125D" w:rsidP="0051125D">
      <w:pPr>
        <w:spacing w:line="360" w:lineRule="auto"/>
        <w:ind w:firstLine="0"/>
        <w:rPr>
          <w:b/>
          <w:bCs/>
        </w:rPr>
      </w:pPr>
      <w:r w:rsidRPr="0051125D">
        <w:rPr>
          <w:b/>
          <w:bCs/>
        </w:rPr>
        <w:t>Mengurai Problem Penderitaan Manusia</w:t>
      </w:r>
    </w:p>
    <w:p w14:paraId="0711E2BD" w14:textId="77777777" w:rsidR="0051125D" w:rsidRDefault="0051125D" w:rsidP="0051125D">
      <w:pPr>
        <w:spacing w:line="360" w:lineRule="auto"/>
      </w:pPr>
      <w:proofErr w:type="gramStart"/>
      <w:r w:rsidRPr="008363AF">
        <w:t>Paul B. Kleden mengemukakan bahwa penderitaan itu terjadi akibat dari adanya keburukan di dalam hidup manusia.</w:t>
      </w:r>
      <w:proofErr w:type="gramEnd"/>
      <w:r w:rsidRPr="008363AF">
        <w:t xml:space="preserve"> </w:t>
      </w:r>
      <w:proofErr w:type="gramStart"/>
      <w:r w:rsidRPr="008363AF">
        <w:t>Keburukan (</w:t>
      </w:r>
      <w:r w:rsidRPr="008363AF">
        <w:rPr>
          <w:i/>
          <w:iCs/>
        </w:rPr>
        <w:t>malum</w:t>
      </w:r>
      <w:r w:rsidRPr="008363AF">
        <w:t>) dapat terjadi dalam hidup manusia karena sesuatu yang diinginkan itu tidak terpenuhi.</w:t>
      </w:r>
      <w:proofErr w:type="gramEnd"/>
      <w:r w:rsidRPr="008363AF">
        <w:t xml:space="preserve"> </w:t>
      </w:r>
      <w:proofErr w:type="gramStart"/>
      <w:r w:rsidRPr="008363AF">
        <w:t>Keburukan itu sifatnya merugikan manusia, dan pada titik tertentu dianggap sebagai adanya sesuatu yang kurang padahal harusnya hal itu ada.</w:t>
      </w:r>
      <w:proofErr w:type="gramEnd"/>
      <w:r>
        <w:rPr>
          <w:rStyle w:val="FootnoteReference"/>
        </w:rPr>
        <w:footnoteReference w:id="6"/>
      </w:r>
      <w:r w:rsidRPr="008363AF">
        <w:t xml:space="preserve"> </w:t>
      </w:r>
      <w:proofErr w:type="gramStart"/>
      <w:r w:rsidRPr="008363AF">
        <w:t>Biasanya, penderitaan itu dapat dialami karena beberapa faktor seperti ketidakadilan, tekanan, kekerasan, kehilangan sesuatu yang dianggap sebagai hal yang berarti, seperti kesehatan, harta benda, harga diri, bahkan kehilangan sesama.</w:t>
      </w:r>
      <w:proofErr w:type="gramEnd"/>
      <w:r>
        <w:rPr>
          <w:rStyle w:val="FootnoteReference"/>
        </w:rPr>
        <w:footnoteReference w:id="7"/>
      </w:r>
    </w:p>
    <w:p w14:paraId="543430D8" w14:textId="77777777" w:rsidR="0051125D" w:rsidRDefault="0051125D" w:rsidP="0051125D">
      <w:pPr>
        <w:spacing w:line="360" w:lineRule="auto"/>
        <w:ind w:firstLine="720"/>
      </w:pPr>
      <w:proofErr w:type="gramStart"/>
      <w:r w:rsidRPr="008363AF">
        <w:t>Mengapa penderitaan ini dapat terjadi sedangkan dalam pokok iman Kristen dengan jelas memperlihatkan tentang bagaimana Allah bekerja dan mendatangkan kebaikan dalam hidup manusia?</w:t>
      </w:r>
      <w:proofErr w:type="gramEnd"/>
      <w:r w:rsidRPr="008363AF">
        <w:t xml:space="preserve"> </w:t>
      </w:r>
      <w:proofErr w:type="gramStart"/>
      <w:r w:rsidRPr="008363AF">
        <w:t xml:space="preserve">Ebenhaizer Nuban Timo sekurang-kurangnya </w:t>
      </w:r>
      <w:r w:rsidRPr="008363AF">
        <w:lastRenderedPageBreak/>
        <w:t>memberikan tiga alasan mendasar dibalik adanya dualisme antara ciptaan yang baik sebagai representasi kehadiran Allah dan penderitaan manusia.</w:t>
      </w:r>
      <w:proofErr w:type="gramEnd"/>
      <w:r w:rsidRPr="008363AF">
        <w:t xml:space="preserve"> </w:t>
      </w:r>
    </w:p>
    <w:p w14:paraId="7142B38B" w14:textId="77777777" w:rsidR="0051125D" w:rsidRPr="00C161C6" w:rsidRDefault="0051125D" w:rsidP="0051125D">
      <w:pPr>
        <w:spacing w:line="360" w:lineRule="auto"/>
        <w:ind w:firstLine="720"/>
      </w:pPr>
      <w:proofErr w:type="gramStart"/>
      <w:r w:rsidRPr="00C161C6">
        <w:rPr>
          <w:b/>
          <w:bCs/>
          <w:i/>
          <w:iCs/>
        </w:rPr>
        <w:t>Pertama</w:t>
      </w:r>
      <w:r w:rsidRPr="00C161C6">
        <w:t>, ini adalah paham klasik dalam kepercayaan animisme dan dinamisme.</w:t>
      </w:r>
      <w:proofErr w:type="gramEnd"/>
      <w:r w:rsidRPr="00C161C6">
        <w:t xml:space="preserve"> </w:t>
      </w:r>
      <w:proofErr w:type="gramStart"/>
      <w:r w:rsidRPr="00C161C6">
        <w:t>Dalam kepercayaan ini, alam diyakini memiliki daya magis, karenanya penderitaan itu bisa saja terjadi sebagai akibat dari adanya benturan atau perkelahian antara roh-roh yang ada di alam</w:t>
      </w:r>
      <w:r w:rsidRPr="00C161C6">
        <w:rPr>
          <w:i/>
          <w:iCs/>
        </w:rPr>
        <w:t>.</w:t>
      </w:r>
      <w:proofErr w:type="gramEnd"/>
      <w:r w:rsidRPr="00C161C6">
        <w:rPr>
          <w:i/>
          <w:iCs/>
        </w:rPr>
        <w:t xml:space="preserve"> </w:t>
      </w:r>
      <w:proofErr w:type="gramStart"/>
      <w:r w:rsidRPr="00C161C6">
        <w:rPr>
          <w:b/>
          <w:bCs/>
          <w:i/>
          <w:iCs/>
        </w:rPr>
        <w:t>Kedua</w:t>
      </w:r>
      <w:r w:rsidRPr="00C161C6">
        <w:rPr>
          <w:i/>
          <w:iCs/>
        </w:rPr>
        <w:t xml:space="preserve">, </w:t>
      </w:r>
      <w:r w:rsidRPr="00C161C6">
        <w:t>kebebasan manusia itu sumber penderitaan manusia.</w:t>
      </w:r>
      <w:proofErr w:type="gramEnd"/>
      <w:r w:rsidRPr="00C161C6">
        <w:t xml:space="preserve"> </w:t>
      </w:r>
      <w:proofErr w:type="gramStart"/>
      <w:r w:rsidRPr="00C161C6">
        <w:t>Kebebasan ini mengandung kenyataan yang berselisih.</w:t>
      </w:r>
      <w:proofErr w:type="gramEnd"/>
      <w:r w:rsidRPr="00C161C6">
        <w:t xml:space="preserve"> Di satu pihak, kebebasan yang ada membuat manusia bisa mengekspresikan imannya pada Allah, tapi pada pihak yang lain, kebebasan itu dimaknai sebagai upaya manusia membentuk jati dirinya sendiri, bahkan bebas menciptakan </w:t>
      </w:r>
      <w:proofErr w:type="gramStart"/>
      <w:r w:rsidRPr="00C161C6">
        <w:t>allah</w:t>
      </w:r>
      <w:proofErr w:type="gramEnd"/>
      <w:r w:rsidRPr="00C161C6">
        <w:t xml:space="preserve"> menurut kehendak manusia itu sendiri. </w:t>
      </w:r>
      <w:proofErr w:type="gramStart"/>
      <w:r w:rsidRPr="00C161C6">
        <w:t>Konsekuensi dari tidak secara baik memanfaatkan kebebasan ini ialah penderitaan.</w:t>
      </w:r>
      <w:proofErr w:type="gramEnd"/>
      <w:r w:rsidRPr="00C161C6">
        <w:t xml:space="preserve"> </w:t>
      </w:r>
      <w:proofErr w:type="gramStart"/>
      <w:r w:rsidRPr="00C161C6">
        <w:rPr>
          <w:b/>
          <w:bCs/>
          <w:i/>
          <w:iCs/>
        </w:rPr>
        <w:t>Ketiga</w:t>
      </w:r>
      <w:r w:rsidRPr="00C161C6">
        <w:t>, penderitaan bisa terjadi dalam hidup manusia karena dosa telah masuk ke dalam semua sendi kehidupan manusia.</w:t>
      </w:r>
      <w:proofErr w:type="gramEnd"/>
      <w:r w:rsidRPr="00C161C6">
        <w:t xml:space="preserve"> </w:t>
      </w:r>
      <w:proofErr w:type="gramStart"/>
      <w:r w:rsidRPr="00C161C6">
        <w:t>Kebebasan yang awalnya dianggap baik dalam perkembangan yang ada malah punya potensi merusak dan membawa manusia menjauh dari Allah.</w:t>
      </w:r>
      <w:proofErr w:type="gramEnd"/>
      <w:r w:rsidRPr="00C161C6">
        <w:t xml:space="preserve"> Manusia justru pada dirinya karena kebebasan yang ada bisa memberontak atau menolak sepenuhnya </w:t>
      </w:r>
      <w:proofErr w:type="gramStart"/>
      <w:r w:rsidRPr="00C161C6">
        <w:t>apa</w:t>
      </w:r>
      <w:proofErr w:type="gramEnd"/>
      <w:r w:rsidRPr="00C161C6">
        <w:t xml:space="preserve"> yang menjadi kehendak Allah.</w:t>
      </w:r>
      <w:r>
        <w:rPr>
          <w:rStyle w:val="FootnoteReference"/>
        </w:rPr>
        <w:footnoteReference w:id="8"/>
      </w:r>
      <w:r w:rsidRPr="00C161C6">
        <w:t xml:space="preserve"> </w:t>
      </w:r>
      <w:proofErr w:type="gramStart"/>
      <w:r w:rsidRPr="00C161C6">
        <w:t xml:space="preserve">Alasan ketiga ini </w:t>
      </w:r>
      <w:r>
        <w:t>yang umumnya</w:t>
      </w:r>
      <w:r w:rsidRPr="00C161C6">
        <w:t xml:space="preserve"> diterima secara luas dalam Kekristenan ketika isu penderitaan dibahas.</w:t>
      </w:r>
      <w:proofErr w:type="gramEnd"/>
      <w:r w:rsidRPr="00C161C6">
        <w:t xml:space="preserve"> </w:t>
      </w:r>
      <w:proofErr w:type="gramStart"/>
      <w:r>
        <w:t>Karena dosa masuk dan menguasai manusia maka kemudian manusia menjadi rentan terhadap segala isu penderitaan.</w:t>
      </w:r>
      <w:proofErr w:type="gramEnd"/>
      <w:r>
        <w:t xml:space="preserve"> </w:t>
      </w:r>
      <w:proofErr w:type="gramStart"/>
      <w:r>
        <w:t>Pendapat ini bisa didebatkan sepanjang pemahaman realitas tentang kematian sebagai sebuah fakta yang tak terelakkan.</w:t>
      </w:r>
      <w:proofErr w:type="gramEnd"/>
      <w:r>
        <w:t xml:space="preserve"> </w:t>
      </w:r>
    </w:p>
    <w:p w14:paraId="26EEDCF9" w14:textId="77777777" w:rsidR="0051125D" w:rsidRPr="0051125D" w:rsidRDefault="0051125D" w:rsidP="0051125D">
      <w:pPr>
        <w:spacing w:line="360" w:lineRule="auto"/>
        <w:ind w:firstLine="0"/>
        <w:rPr>
          <w:b/>
          <w:bCs/>
        </w:rPr>
      </w:pPr>
      <w:r w:rsidRPr="0051125D">
        <w:rPr>
          <w:b/>
          <w:bCs/>
        </w:rPr>
        <w:t>Kematian sebagai Penderitaan</w:t>
      </w:r>
    </w:p>
    <w:p w14:paraId="34A01180" w14:textId="77777777" w:rsidR="0051125D" w:rsidRDefault="0051125D" w:rsidP="0051125D">
      <w:pPr>
        <w:spacing w:line="360" w:lineRule="auto"/>
      </w:pPr>
      <w:r>
        <w:t xml:space="preserve">Bagi Soedarmo, kematian merupakan sebuah kepastian yang tentu </w:t>
      </w:r>
      <w:proofErr w:type="gramStart"/>
      <w:r>
        <w:t>akan</w:t>
      </w:r>
      <w:proofErr w:type="gramEnd"/>
      <w:r>
        <w:t xml:space="preserve"> dialami oleh setiap manusia. </w:t>
      </w:r>
      <w:proofErr w:type="gramStart"/>
      <w:r>
        <w:t>Uraiannya tentang kematian itu tidak bisa dilepaskan dari kejatuhan manusia ke dalam dosa.</w:t>
      </w:r>
      <w:proofErr w:type="gramEnd"/>
      <w:r>
        <w:t xml:space="preserve"> Dalam hal ini, maka </w:t>
      </w:r>
      <w:proofErr w:type="gramStart"/>
      <w:r>
        <w:t>ia</w:t>
      </w:r>
      <w:proofErr w:type="gramEnd"/>
      <w:r>
        <w:t xml:space="preserve"> selanjutnya memahami kematian sebagai </w:t>
      </w:r>
      <w:r>
        <w:lastRenderedPageBreak/>
        <w:t>perceraian, dan puncak yang menuju kepada kematian merujuk pada perceraian antara manusia dengan Allah.</w:t>
      </w:r>
      <w:r>
        <w:rPr>
          <w:rStyle w:val="FootnoteReference"/>
        </w:rPr>
        <w:footnoteReference w:id="9"/>
      </w:r>
    </w:p>
    <w:p w14:paraId="7BCC3B8E" w14:textId="77777777" w:rsidR="0051125D" w:rsidRDefault="0051125D" w:rsidP="0051125D">
      <w:pPr>
        <w:spacing w:line="360" w:lineRule="auto"/>
        <w:ind w:firstLine="720"/>
      </w:pPr>
      <w:proofErr w:type="gramStart"/>
      <w:r>
        <w:t>Kematian sendiri dalam diskursus para teolog menawarkan ragam paham.</w:t>
      </w:r>
      <w:proofErr w:type="gramEnd"/>
      <w:r>
        <w:t xml:space="preserve"> </w:t>
      </w:r>
      <w:proofErr w:type="gramStart"/>
      <w:r>
        <w:t>Nico Syukur setidaknya memperlihatkan bahwa ada tiga kelompok besar yang memahami kematian dengan versi mereka.</w:t>
      </w:r>
      <w:proofErr w:type="gramEnd"/>
      <w:r>
        <w:t xml:space="preserve"> </w:t>
      </w:r>
      <w:proofErr w:type="gramStart"/>
      <w:r w:rsidRPr="007C7AF0">
        <w:rPr>
          <w:b/>
          <w:bCs/>
          <w:i/>
          <w:iCs/>
        </w:rPr>
        <w:t>Kelompok pertama</w:t>
      </w:r>
      <w:r>
        <w:t xml:space="preserve"> memahami kematian sebagai pengamalan iman yang istimewa.</w:t>
      </w:r>
      <w:proofErr w:type="gramEnd"/>
      <w:r>
        <w:t xml:space="preserve"> </w:t>
      </w:r>
      <w:proofErr w:type="gramStart"/>
      <w:r>
        <w:t>Letak keistimewaannya itu terletak pada saat metafisis di mana manusia beralih dari waktu dan ruang dunia ini ke alam baka.</w:t>
      </w:r>
      <w:proofErr w:type="gramEnd"/>
      <w:r>
        <w:t xml:space="preserve"> </w:t>
      </w:r>
      <w:proofErr w:type="gramStart"/>
      <w:r>
        <w:rPr>
          <w:b/>
          <w:bCs/>
          <w:i/>
          <w:iCs/>
        </w:rPr>
        <w:t>Kelompok kedua</w:t>
      </w:r>
      <w:r>
        <w:t xml:space="preserve"> memaknai kematian sebagai saat yang paling gelap dan paling sulit bagi iman seseorang.</w:t>
      </w:r>
      <w:proofErr w:type="gramEnd"/>
      <w:r>
        <w:t xml:space="preserve"> </w:t>
      </w:r>
      <w:r w:rsidRPr="00A4403D">
        <w:rPr>
          <w:b/>
          <w:bCs/>
          <w:i/>
          <w:iCs/>
        </w:rPr>
        <w:t>Kelompok ketiga</w:t>
      </w:r>
      <w:r>
        <w:t xml:space="preserve"> sebaliknya memahami kematian sebagai pengakhiran hidup dan karena itu, kematian merupakan sebuah situasi iman yang sebenarnya tidak jauh berbeda dengan situasi hidup yang lain.</w:t>
      </w:r>
      <w:r>
        <w:rPr>
          <w:rStyle w:val="FootnoteReference"/>
        </w:rPr>
        <w:footnoteReference w:id="10"/>
      </w:r>
    </w:p>
    <w:p w14:paraId="6515B18B" w14:textId="77777777" w:rsidR="0051125D" w:rsidRDefault="0051125D" w:rsidP="0051125D">
      <w:pPr>
        <w:spacing w:line="360" w:lineRule="auto"/>
        <w:ind w:firstLine="720"/>
      </w:pPr>
      <w:proofErr w:type="gramStart"/>
      <w:r>
        <w:t>Kematian juga dalam pemahaman iman Kristen memiliki tiga bentuk.</w:t>
      </w:r>
      <w:proofErr w:type="gramEnd"/>
      <w:r>
        <w:t xml:space="preserve"> </w:t>
      </w:r>
      <w:proofErr w:type="gramStart"/>
      <w:r w:rsidRPr="00EC5315">
        <w:rPr>
          <w:b/>
          <w:bCs/>
          <w:i/>
          <w:iCs/>
        </w:rPr>
        <w:t>Pertama</w:t>
      </w:r>
      <w:r>
        <w:t>, kematian fisik.</w:t>
      </w:r>
      <w:proofErr w:type="gramEnd"/>
      <w:r>
        <w:t xml:space="preserve"> Jenis kematian ini sudah pasti </w:t>
      </w:r>
      <w:proofErr w:type="gramStart"/>
      <w:r>
        <w:t>akan</w:t>
      </w:r>
      <w:proofErr w:type="gramEnd"/>
      <w:r>
        <w:t xml:space="preserve"> dialami oleh setiap anak manusia. </w:t>
      </w:r>
      <w:proofErr w:type="gramStart"/>
      <w:r>
        <w:t>Hanya saja bentuk kematian ini tidak ada sangkut pautnya dengan dosa.</w:t>
      </w:r>
      <w:proofErr w:type="gramEnd"/>
      <w:r>
        <w:t xml:space="preserve"> Asumsi ini paling tidak menegaskan bahwa baik berdosa atau pun tidak pasti manusia </w:t>
      </w:r>
      <w:proofErr w:type="gramStart"/>
      <w:r>
        <w:t>akan</w:t>
      </w:r>
      <w:proofErr w:type="gramEnd"/>
      <w:r>
        <w:t xml:space="preserve"> tiba pada kematiannya. </w:t>
      </w:r>
      <w:proofErr w:type="gramStart"/>
      <w:r>
        <w:rPr>
          <w:b/>
          <w:bCs/>
          <w:i/>
          <w:iCs/>
        </w:rPr>
        <w:t>Kedua</w:t>
      </w:r>
      <w:r>
        <w:t>, kematian spiritual.</w:t>
      </w:r>
      <w:proofErr w:type="gramEnd"/>
      <w:r>
        <w:t xml:space="preserve"> </w:t>
      </w:r>
      <w:proofErr w:type="gramStart"/>
      <w:r>
        <w:t>Pada bentuk kematian ini, yang ditekankan ada pada relasi manusia dengan Allah.</w:t>
      </w:r>
      <w:proofErr w:type="gramEnd"/>
      <w:r>
        <w:t xml:space="preserve"> </w:t>
      </w:r>
      <w:proofErr w:type="gramStart"/>
      <w:r>
        <w:t>Dalam hal ini, manusia telah memutuskan hubungan baiknya dengan Allah.</w:t>
      </w:r>
      <w:proofErr w:type="gramEnd"/>
      <w:r>
        <w:t xml:space="preserve"> </w:t>
      </w:r>
      <w:proofErr w:type="gramStart"/>
      <w:r>
        <w:t>Kematian ini memiliki keterkaitan besar dengan dosa.</w:t>
      </w:r>
      <w:proofErr w:type="gramEnd"/>
      <w:r>
        <w:t xml:space="preserve"> </w:t>
      </w:r>
      <w:proofErr w:type="gramStart"/>
      <w:r>
        <w:t>Hal ini terjadi oleh karena kehendak bebas itu diselewengkan maknanya.</w:t>
      </w:r>
      <w:proofErr w:type="gramEnd"/>
      <w:r>
        <w:t xml:space="preserve"> Menariknya, dalam paham kematian ini, seseorang </w:t>
      </w:r>
      <w:proofErr w:type="gramStart"/>
      <w:r>
        <w:t>ia</w:t>
      </w:r>
      <w:proofErr w:type="gramEnd"/>
      <w:r>
        <w:t xml:space="preserve"> bisa terjadi tanpa adanya kematian fisik. </w:t>
      </w:r>
      <w:proofErr w:type="gramStart"/>
      <w:r>
        <w:t>Maksudnya bahwa ketika manusia memberontak kepada Allah dan memutuskan relasinya dengan Allah maka kematian spiritual itu telah terjadi.</w:t>
      </w:r>
      <w:proofErr w:type="gramEnd"/>
      <w:r>
        <w:t xml:space="preserve"> </w:t>
      </w:r>
      <w:proofErr w:type="gramStart"/>
      <w:r>
        <w:rPr>
          <w:b/>
          <w:bCs/>
          <w:i/>
          <w:iCs/>
        </w:rPr>
        <w:t xml:space="preserve">Ketiga, </w:t>
      </w:r>
      <w:r>
        <w:t>kematian kekal.</w:t>
      </w:r>
      <w:proofErr w:type="gramEnd"/>
      <w:r>
        <w:t xml:space="preserve"> Bentuk ini hanya </w:t>
      </w:r>
      <w:proofErr w:type="gramStart"/>
      <w:r>
        <w:t>akan</w:t>
      </w:r>
      <w:proofErr w:type="gramEnd"/>
      <w:r>
        <w:t xml:space="preserve"> terjadi ketika Kristus telah datang kembali. </w:t>
      </w:r>
      <w:proofErr w:type="gramStart"/>
      <w:r>
        <w:t>Lebih tegas lagi bahwa kematian ini hanya berlaku bagi mereka yang menolak Kristus sebagai Tuhan dan Juruselamat.</w:t>
      </w:r>
      <w:proofErr w:type="gramEnd"/>
      <w:r>
        <w:rPr>
          <w:rStyle w:val="FootnoteReference"/>
        </w:rPr>
        <w:footnoteReference w:id="11"/>
      </w:r>
    </w:p>
    <w:p w14:paraId="0C48FE30" w14:textId="77777777" w:rsidR="0051125D" w:rsidRDefault="0051125D" w:rsidP="0051125D">
      <w:pPr>
        <w:spacing w:line="360" w:lineRule="auto"/>
        <w:ind w:firstLine="720"/>
      </w:pPr>
      <w:proofErr w:type="gramStart"/>
      <w:r>
        <w:lastRenderedPageBreak/>
        <w:t>Paham kematian yang dimaksudkan dalam tulisan ini lebih pada kematian fisik sebagai sebuah realitas yang bisa menguras perasaan atau emosional manusia.</w:t>
      </w:r>
      <w:proofErr w:type="gramEnd"/>
      <w:r>
        <w:t xml:space="preserve"> </w:t>
      </w:r>
      <w:proofErr w:type="gramStart"/>
      <w:r>
        <w:t>Bahkan untuk bisa resiliensi dari kabung membutuhkan jangka waktu yang lama.</w:t>
      </w:r>
      <w:proofErr w:type="gramEnd"/>
      <w:r>
        <w:t xml:space="preserve"> Camus menangkap dan memahami realitas ini dan </w:t>
      </w:r>
      <w:proofErr w:type="gramStart"/>
      <w:r>
        <w:t>ia</w:t>
      </w:r>
      <w:proofErr w:type="gramEnd"/>
      <w:r>
        <w:t xml:space="preserve"> sebut sebagai absurditas. </w:t>
      </w:r>
      <w:proofErr w:type="gramStart"/>
      <w:r>
        <w:t>Absurditas itu berlaku ketika penderitaan dan kematian itu menghilangkan eksistensi manusia.</w:t>
      </w:r>
      <w:proofErr w:type="gramEnd"/>
      <w:r>
        <w:t xml:space="preserve"> </w:t>
      </w:r>
      <w:proofErr w:type="gramStart"/>
      <w:r>
        <w:t>Pengalaman ini tentu amat bertolak belakang dengan idealisme yang manusia bangun.</w:t>
      </w:r>
      <w:proofErr w:type="gramEnd"/>
      <w:r>
        <w:t xml:space="preserve"> </w:t>
      </w:r>
      <w:proofErr w:type="gramStart"/>
      <w:r>
        <w:t>Harapannya dunia harus penuh denan damai dan ketenangan tanpa perang, penderitaan, kejahatan, kematian, dan ragam masalah lainnya.</w:t>
      </w:r>
      <w:proofErr w:type="gramEnd"/>
      <w:r>
        <w:t xml:space="preserve"> Akan tetapi yang malah terjadi ialah </w:t>
      </w:r>
      <w:proofErr w:type="gramStart"/>
      <w:r>
        <w:t>apa</w:t>
      </w:r>
      <w:proofErr w:type="gramEnd"/>
      <w:r>
        <w:t xml:space="preserve"> yang diharapkan sebagai idealisme tidak sepenuhnya berlaku. Manusia terkesan hanya bisa menerima </w:t>
      </w:r>
      <w:proofErr w:type="gramStart"/>
      <w:r>
        <w:t>apa</w:t>
      </w:r>
      <w:proofErr w:type="gramEnd"/>
      <w:r>
        <w:t xml:space="preserve"> yang terjadi, dipaksa merasakan dan menjalani semua realitas yang ada tanpa perlu penjelasan.</w:t>
      </w:r>
      <w:r>
        <w:rPr>
          <w:rStyle w:val="FootnoteReference"/>
        </w:rPr>
        <w:footnoteReference w:id="12"/>
      </w:r>
      <w:r>
        <w:t xml:space="preserve"> </w:t>
      </w:r>
      <w:proofErr w:type="gramStart"/>
      <w:r>
        <w:t>Intinya ialah manusia pasrah pada realitas.</w:t>
      </w:r>
      <w:proofErr w:type="gramEnd"/>
      <w:r>
        <w:t xml:space="preserve"> Ini </w:t>
      </w:r>
      <w:proofErr w:type="gramStart"/>
      <w:r>
        <w:t>sama</w:t>
      </w:r>
      <w:proofErr w:type="gramEnd"/>
      <w:r>
        <w:t xml:space="preserve"> saja dengan hidup dalam kehampaan, tanpa makna.</w:t>
      </w:r>
    </w:p>
    <w:p w14:paraId="452B3BFC" w14:textId="77777777" w:rsidR="0051125D" w:rsidRPr="0051125D" w:rsidRDefault="0051125D" w:rsidP="0051125D">
      <w:pPr>
        <w:spacing w:line="360" w:lineRule="auto"/>
        <w:ind w:firstLine="0"/>
        <w:rPr>
          <w:b/>
          <w:bCs/>
        </w:rPr>
      </w:pPr>
      <w:r w:rsidRPr="0051125D">
        <w:rPr>
          <w:b/>
          <w:bCs/>
        </w:rPr>
        <w:t>Providensia sebagai Tanda Eksistensi Tuhan</w:t>
      </w:r>
    </w:p>
    <w:p w14:paraId="26A911EF" w14:textId="77777777" w:rsidR="0051125D" w:rsidRDefault="0051125D" w:rsidP="0051125D">
      <w:pPr>
        <w:spacing w:line="360" w:lineRule="auto"/>
      </w:pPr>
      <w:proofErr w:type="gramStart"/>
      <w:r>
        <w:t>Dalam doktrin iman Kristen, pemahaman tentang providensia Allah punya kaitan erat dengan eksistensi Allah.</w:t>
      </w:r>
      <w:proofErr w:type="gramEnd"/>
      <w:r>
        <w:t xml:space="preserve"> </w:t>
      </w:r>
      <w:proofErr w:type="gramStart"/>
      <w:r>
        <w:t>Dunia sebagai karya cipta Allah dan semua yang masih terpelihara itu merupakan suatu bukti nyata dari karya Allah Tritunggal.</w:t>
      </w:r>
      <w:proofErr w:type="gramEnd"/>
      <w:r>
        <w:t xml:space="preserve"> </w:t>
      </w:r>
      <w:proofErr w:type="gramStart"/>
      <w:r>
        <w:t>Karya Allah Tritunggal ini kerap disebut sebagai karya ekonomis.</w:t>
      </w:r>
      <w:proofErr w:type="gramEnd"/>
      <w:r>
        <w:t xml:space="preserve"> Leonardo Boff menarasikan karya ekonomis Allah ini dengan indah dalam tiga era, tetapi era yang dimaksud buka dalam arti bahwa setelah selesai masa Pribadi yang satu kemudian digantikan peran Pribadi lain, melainkan lebih terarah pada makna Trinitarian yaitu seluruh waktu menjadi waktu ketiga Pribadi Allah dalam bentangan sejarah.</w:t>
      </w:r>
      <w:r>
        <w:rPr>
          <w:rStyle w:val="FootnoteReference"/>
        </w:rPr>
        <w:footnoteReference w:id="13"/>
      </w:r>
    </w:p>
    <w:p w14:paraId="3F21BA11" w14:textId="77777777" w:rsidR="0051125D" w:rsidRDefault="0051125D" w:rsidP="0051125D">
      <w:pPr>
        <w:spacing w:line="360" w:lineRule="auto"/>
        <w:ind w:firstLine="720"/>
      </w:pPr>
      <w:proofErr w:type="gramStart"/>
      <w:r>
        <w:t>Jika membahas era Bapa itu bermakna Bapa bertugas memelihara seluruh ciptaan, yang diciptakan melalui perantaraan Putra-Nya dan dalam cinta Roh Kudus.</w:t>
      </w:r>
      <w:proofErr w:type="gramEnd"/>
      <w:r>
        <w:t xml:space="preserve"> </w:t>
      </w:r>
      <w:proofErr w:type="gramStart"/>
      <w:r>
        <w:t>Menariknya, pemeliharaan Sang Bapa itu ada dalam suatu sikap ayah dan ibu atas seluruh ciptaan.</w:t>
      </w:r>
      <w:proofErr w:type="gramEnd"/>
      <w:r>
        <w:t xml:space="preserve"> </w:t>
      </w:r>
      <w:proofErr w:type="gramStart"/>
      <w:r>
        <w:t xml:space="preserve">Jika berbicara era Putra, itu bermakna bahwa ciptaan itu telah dibebaskan dari dosa akibat </w:t>
      </w:r>
      <w:r>
        <w:lastRenderedPageBreak/>
        <w:t>salah memaknai kehendak bebas yang ada pada dirinya.</w:t>
      </w:r>
      <w:proofErr w:type="gramEnd"/>
      <w:r>
        <w:t xml:space="preserve"> </w:t>
      </w:r>
      <w:proofErr w:type="gramStart"/>
      <w:r>
        <w:t>Sang Putra menyatakan diri sebagai yang penuh cinta persaudaraan kepada semua ciptaan sebagai representasi ungkapan cinta dan kebijaksanaan Bapa dalam Roh.</w:t>
      </w:r>
      <w:proofErr w:type="gramEnd"/>
      <w:r>
        <w:t xml:space="preserve"> </w:t>
      </w:r>
      <w:proofErr w:type="gramStart"/>
      <w:r>
        <w:t>Jika berbicara tentang era Roh Kudus maka Roh Kudus bertugas membatinkan ke dalam setiap orang makna kehidupan yang telah Kristus menangkan.</w:t>
      </w:r>
      <w:proofErr w:type="gramEnd"/>
      <w:r>
        <w:t xml:space="preserve"> Roh Kudus turut ada dan mewarnai pentas sejarah dan lewat </w:t>
      </w:r>
      <w:proofErr w:type="gramStart"/>
      <w:r>
        <w:t>Ia</w:t>
      </w:r>
      <w:proofErr w:type="gramEnd"/>
      <w:r>
        <w:t xml:space="preserve"> pula, cinta Allah itu sungguh-sungguh dapat dipahami.</w:t>
      </w:r>
      <w:r>
        <w:rPr>
          <w:rStyle w:val="FootnoteReference"/>
        </w:rPr>
        <w:footnoteReference w:id="14"/>
      </w:r>
    </w:p>
    <w:p w14:paraId="0BEBF984" w14:textId="77777777" w:rsidR="0051125D" w:rsidRDefault="0051125D" w:rsidP="0051125D">
      <w:pPr>
        <w:spacing w:line="360" w:lineRule="auto"/>
        <w:ind w:firstLine="720"/>
      </w:pPr>
      <w:proofErr w:type="gramStart"/>
      <w:r>
        <w:t>Boff lalu dengan indah menutup pemahaman kehadiran Trinitas dalam pentas sejarah sebagai pokok puji-pujian.</w:t>
      </w:r>
      <w:proofErr w:type="gramEnd"/>
      <w:r>
        <w:t xml:space="preserve"> Karena sinergitas Trinitas sebagai kesatuan perikoresis maka Bapa, Putra, dan Roh Kudus patut dimuliakan sebab dalam cinta dan kerinduan Mereka telah dengan indah menyatakan dan membentuk pola persekutuan yang memenuhi seluruh pentas sejarah semesta.</w:t>
      </w:r>
      <w:r>
        <w:rPr>
          <w:rStyle w:val="FootnoteReference"/>
        </w:rPr>
        <w:footnoteReference w:id="15"/>
      </w:r>
    </w:p>
    <w:p w14:paraId="76D00089" w14:textId="77777777" w:rsidR="0051125D" w:rsidRDefault="0051125D" w:rsidP="0051125D">
      <w:pPr>
        <w:spacing w:line="360" w:lineRule="auto"/>
        <w:ind w:firstLine="720"/>
      </w:pPr>
      <w:proofErr w:type="gramStart"/>
      <w:r>
        <w:t>Setelah menguraikan kehadiran Trinitas dalam sejarah semesta, lalu bagaikan kemudian providensia itu dimaknai?</w:t>
      </w:r>
      <w:proofErr w:type="gramEnd"/>
      <w:r>
        <w:t xml:space="preserve"> Secara etimologis providensia berasal dari kata “</w:t>
      </w:r>
      <w:r w:rsidRPr="00F964D5">
        <w:rPr>
          <w:i/>
          <w:iCs/>
        </w:rPr>
        <w:t>providence</w:t>
      </w:r>
      <w:r>
        <w:t xml:space="preserve">” dalam bahasa Inggris yang selanjutnya </w:t>
      </w:r>
      <w:proofErr w:type="gramStart"/>
      <w:r>
        <w:t>diterjemahkan  sebagai</w:t>
      </w:r>
      <w:proofErr w:type="gramEnd"/>
      <w:r>
        <w:t xml:space="preserve"> pemeliharaan. </w:t>
      </w:r>
      <w:proofErr w:type="gramStart"/>
      <w:r>
        <w:t>Ini artinya lebih kepada melihat atau mengetahui sebelumnya.</w:t>
      </w:r>
      <w:proofErr w:type="gramEnd"/>
      <w:r>
        <w:t xml:space="preserve">  Dari pemikiran dasar ini </w:t>
      </w:r>
      <w:proofErr w:type="gramStart"/>
      <w:r>
        <w:t>maka  kata</w:t>
      </w:r>
      <w:proofErr w:type="gramEnd"/>
      <w:r>
        <w:t xml:space="preserve"> ini kemudian mendapat arti menyediakan untuk masa depan. Akan tetapi, dalam teologi Kristen, kata “</w:t>
      </w:r>
      <w:r w:rsidRPr="00F964D5">
        <w:rPr>
          <w:i/>
          <w:iCs/>
        </w:rPr>
        <w:t>providence</w:t>
      </w:r>
      <w:r>
        <w:t xml:space="preserve">” mendapat arti  yang lebih khusus lagi, yaitu  kegiatan berkesinambungan Allah untuk menjadikan segenap peristiwa di bidang fisik, mental, dan moral dalam melaksanakan rencana yang telah ditetapkan-Nya, yaitu  rencana yang merupakan pola  utama Allah dalam menciptakan alam semesta  ini. Memang diakui </w:t>
      </w:r>
      <w:proofErr w:type="gramStart"/>
      <w:r>
        <w:t>bahwa  kejahatan</w:t>
      </w:r>
      <w:proofErr w:type="gramEnd"/>
      <w:r>
        <w:t xml:space="preserve"> sudah memasuki dan mengotori alam semesta, namun kejahatan ini tidak dibiarkan menggagalkan tujuan mula-mula Allah, yakni tujuan yang bijaksana, penuh kebaikan, dan kudus.</w:t>
      </w:r>
      <w:r>
        <w:rPr>
          <w:rStyle w:val="FootnoteReference"/>
        </w:rPr>
        <w:footnoteReference w:id="16"/>
      </w:r>
    </w:p>
    <w:p w14:paraId="24B181D4" w14:textId="77777777" w:rsidR="0051125D" w:rsidRDefault="0051125D" w:rsidP="0051125D">
      <w:pPr>
        <w:spacing w:line="360" w:lineRule="auto"/>
        <w:ind w:firstLine="720"/>
      </w:pPr>
      <w:proofErr w:type="gramStart"/>
      <w:r>
        <w:lastRenderedPageBreak/>
        <w:t>Sejalan dengan makna providensia di atas, maka Herman Bavink, seorang teolog terkemuka juga turut memberi komentarnya.</w:t>
      </w:r>
      <w:proofErr w:type="gramEnd"/>
      <w:r>
        <w:t xml:space="preserve"> Baginya “</w:t>
      </w:r>
      <w:r w:rsidRPr="00380E4E">
        <w:rPr>
          <w:i/>
          <w:iCs/>
        </w:rPr>
        <w:t xml:space="preserve">God’s counsel in reference to the physical world is called “providence” and includes preservation and governance. </w:t>
      </w:r>
      <w:proofErr w:type="gramStart"/>
      <w:r w:rsidRPr="00380E4E">
        <w:rPr>
          <w:i/>
          <w:iCs/>
        </w:rPr>
        <w:t>That things</w:t>
      </w:r>
      <w:proofErr w:type="gramEnd"/>
      <w:r w:rsidRPr="00380E4E">
        <w:rPr>
          <w:i/>
          <w:iCs/>
        </w:rPr>
        <w:t xml:space="preserve"> exist and the way they exist are grounded solely in God’s good pleasure. If this is granted, then it must be acknowledged that the counsel of God also extends to the moral world and to human conduct</w:t>
      </w:r>
      <w:r>
        <w:t>”.</w:t>
      </w:r>
      <w:r>
        <w:rPr>
          <w:rStyle w:val="FootnoteReference"/>
        </w:rPr>
        <w:footnoteReference w:id="17"/>
      </w:r>
    </w:p>
    <w:p w14:paraId="48CE77CF" w14:textId="77777777" w:rsidR="0051125D" w:rsidRDefault="0051125D" w:rsidP="0051125D">
      <w:pPr>
        <w:spacing w:line="360" w:lineRule="auto"/>
        <w:ind w:firstLine="720"/>
      </w:pPr>
      <w:proofErr w:type="gramStart"/>
      <w:r>
        <w:t>Pandangan Bavinck ini khas Calvinis.</w:t>
      </w:r>
      <w:proofErr w:type="gramEnd"/>
      <w:r>
        <w:t xml:space="preserve"> </w:t>
      </w:r>
      <w:proofErr w:type="gramStart"/>
      <w:r>
        <w:t>Mengakui providensia Allah maka serentak mengakui bagaimana moral dan perilaku manusia itu diatur.</w:t>
      </w:r>
      <w:proofErr w:type="gramEnd"/>
      <w:r>
        <w:t xml:space="preserve"> Dengan mengutip pandangan Calvin, Nuban Timo menegaskan bahwa memahami providensia Allah harus turut mempertimbangkan dua fase penting dalam realitas ciptaan yaitu fase eksistensi ciptaan pada saat dibentuk oleh Allah dan juga fase eksistensi ciptaan tatkala jatuh ke dalam dosa. </w:t>
      </w:r>
      <w:proofErr w:type="gramStart"/>
      <w:r>
        <w:t>Lebih lanjut Nuban Timo menegaskan bahwa pada fase pertama itu yang diciptakan Allah itu teratur dan sungguh amat baik.</w:t>
      </w:r>
      <w:proofErr w:type="gramEnd"/>
      <w:r>
        <w:t xml:space="preserve"> </w:t>
      </w:r>
      <w:proofErr w:type="gramStart"/>
      <w:r>
        <w:t>Hanya saja, ketika masuk pada fase kedua, kehidupan ciptaan tanpa begitu kacau-balau.</w:t>
      </w:r>
      <w:proofErr w:type="gramEnd"/>
      <w:r>
        <w:t xml:space="preserve"> </w:t>
      </w:r>
      <w:proofErr w:type="gramStart"/>
      <w:r>
        <w:t>Akibatnya, penderitaan, kejahatan, kematian itu dipandang sebagai ancaman.</w:t>
      </w:r>
      <w:proofErr w:type="gramEnd"/>
      <w:r>
        <w:rPr>
          <w:rStyle w:val="FootnoteReference"/>
        </w:rPr>
        <w:footnoteReference w:id="18"/>
      </w:r>
      <w:r>
        <w:t xml:space="preserve"> </w:t>
      </w:r>
      <w:proofErr w:type="gramStart"/>
      <w:r>
        <w:t>Hal ini bisa terjadi karena berkaitan erat dengan kehendak bebas yang ada pada manusia.</w:t>
      </w:r>
      <w:proofErr w:type="gramEnd"/>
      <w:r>
        <w:t xml:space="preserve"> </w:t>
      </w:r>
      <w:proofErr w:type="gramStart"/>
      <w:r>
        <w:t>Manusia tidak seutuhnya mendengar kehendak Tuhan.</w:t>
      </w:r>
      <w:proofErr w:type="gramEnd"/>
      <w:r>
        <w:t xml:space="preserve"> Padahal, konteks kebebasan yang dibahas dalam </w:t>
      </w:r>
      <w:r w:rsidRPr="009F26E6">
        <w:rPr>
          <w:i/>
          <w:iCs/>
        </w:rPr>
        <w:t>frame</w:t>
      </w:r>
      <w:r>
        <w:t xml:space="preserve"> Calvinis itu selalu bertaut pada </w:t>
      </w:r>
      <w:proofErr w:type="gramStart"/>
      <w:r>
        <w:t>apa</w:t>
      </w:r>
      <w:proofErr w:type="gramEnd"/>
      <w:r>
        <w:t xml:space="preserve"> kata Tuhan. Manusia memang bukan robot tetapi manusia juga perlu mendengar </w:t>
      </w:r>
      <w:proofErr w:type="gramStart"/>
      <w:r>
        <w:t>apa</w:t>
      </w:r>
      <w:proofErr w:type="gramEnd"/>
      <w:r>
        <w:t xml:space="preserve"> kata Tuhan sebab yang diajarkan oleh-Nya selalu berimplikasi pada ketertiban dan keteraturan. </w:t>
      </w:r>
    </w:p>
    <w:p w14:paraId="33D71937" w14:textId="77777777" w:rsidR="0051125D" w:rsidRDefault="0051125D" w:rsidP="0051125D">
      <w:pPr>
        <w:spacing w:line="360" w:lineRule="auto"/>
        <w:ind w:firstLine="720"/>
      </w:pPr>
      <w:proofErr w:type="gramStart"/>
      <w:r>
        <w:t>Soedarmo, lalu meringkaskan makna providensia ke dalam dua istilah, pemeliharaan dan pemerintahan.</w:t>
      </w:r>
      <w:proofErr w:type="gramEnd"/>
      <w:r>
        <w:t xml:space="preserve"> </w:t>
      </w:r>
      <w:proofErr w:type="gramStart"/>
      <w:r>
        <w:t>Pemeliharaan bermakna bahwa seluruh alam semesta itu dipelihara oleh Tuhan.</w:t>
      </w:r>
      <w:proofErr w:type="gramEnd"/>
      <w:r>
        <w:t xml:space="preserve"> Pemeliharaan Tuhan itu dimaksudkan agar karya cipta-Nya tidak dirusak oleh kuasa lain. Agar karya cipta itu tetap lestari, maka </w:t>
      </w:r>
      <w:proofErr w:type="gramStart"/>
      <w:r>
        <w:t>Ia</w:t>
      </w:r>
      <w:proofErr w:type="gramEnd"/>
      <w:r>
        <w:t xml:space="preserve"> kemudian melibatkan manusia untuk aktif menjaga alam ini. </w:t>
      </w:r>
      <w:proofErr w:type="gramStart"/>
      <w:r>
        <w:t>Ini bisa dilihat dalam narasi penempatan manusia di Ede.</w:t>
      </w:r>
      <w:proofErr w:type="gramEnd"/>
      <w:r>
        <w:rPr>
          <w:rStyle w:val="FootnoteReference"/>
        </w:rPr>
        <w:footnoteReference w:id="19"/>
      </w:r>
    </w:p>
    <w:p w14:paraId="3A60D3EE" w14:textId="77777777" w:rsidR="0051125D" w:rsidRPr="00AE65A8" w:rsidRDefault="0051125D" w:rsidP="0051125D">
      <w:pPr>
        <w:spacing w:line="360" w:lineRule="auto"/>
        <w:ind w:firstLine="720"/>
      </w:pPr>
      <w:proofErr w:type="gramStart"/>
      <w:r>
        <w:lastRenderedPageBreak/>
        <w:t>Sedangkan pemerintahan itu bermakna segala yang ada dalam dunia ini, Allah yang memerintah.</w:t>
      </w:r>
      <w:proofErr w:type="gramEnd"/>
      <w:r>
        <w:t xml:space="preserve"> Pemerintahan Allah itu punya makna bahwa </w:t>
      </w:r>
      <w:proofErr w:type="gramStart"/>
      <w:r>
        <w:t>apa</w:t>
      </w:r>
      <w:proofErr w:type="gramEnd"/>
      <w:r>
        <w:t xml:space="preserve"> yang Allah lakukan itu semata-mata menuntun semua yang telah diciptakan kepada suatu maksud yang telah Ia rancang. </w:t>
      </w:r>
      <w:proofErr w:type="gramStart"/>
      <w:r>
        <w:t>Melalui doktrin providensia, manusia lekas sadar bahwa manusia yang dikatakan ciptaan superior sekalipun tidak bisa menentukan masa sejarah.</w:t>
      </w:r>
      <w:proofErr w:type="gramEnd"/>
      <w:r>
        <w:t xml:space="preserve"> </w:t>
      </w:r>
      <w:proofErr w:type="gramStart"/>
      <w:r>
        <w:t>Hal itu hanya bisa terjadi ketika Allah sendiri yang memerintah.</w:t>
      </w:r>
      <w:proofErr w:type="gramEnd"/>
      <w:r>
        <w:rPr>
          <w:rStyle w:val="FootnoteReference"/>
        </w:rPr>
        <w:footnoteReference w:id="20"/>
      </w:r>
    </w:p>
    <w:p w14:paraId="2FAF1B91" w14:textId="77777777" w:rsidR="0051125D" w:rsidRPr="0051125D" w:rsidRDefault="0051125D" w:rsidP="0051125D">
      <w:pPr>
        <w:spacing w:line="360" w:lineRule="auto"/>
        <w:ind w:firstLine="0"/>
        <w:rPr>
          <w:b/>
          <w:bCs/>
        </w:rPr>
      </w:pPr>
      <w:r w:rsidRPr="0051125D">
        <w:rPr>
          <w:b/>
          <w:bCs/>
        </w:rPr>
        <w:t>Kesaksian Alkitab tentang Providensia</w:t>
      </w:r>
    </w:p>
    <w:p w14:paraId="6BC155CD" w14:textId="77777777" w:rsidR="0051125D" w:rsidRDefault="0051125D" w:rsidP="0051125D">
      <w:pPr>
        <w:spacing w:line="360" w:lineRule="auto"/>
      </w:pPr>
      <w:r>
        <w:t xml:space="preserve">Pembahasan tentang Allah dan karena yang </w:t>
      </w:r>
      <w:proofErr w:type="gramStart"/>
      <w:r>
        <w:t>Ia</w:t>
      </w:r>
      <w:proofErr w:type="gramEnd"/>
      <w:r>
        <w:t xml:space="preserve"> lakukan hanya bisa digalih dari Alkitab. Alkitab merupakan dasar utama dari segala usaha mencari dan memahami apa yang Allah lakukan dalam sejarah hidup manusia, </w:t>
      </w:r>
      <w:proofErr w:type="gramStart"/>
      <w:r>
        <w:t>termasuk  di</w:t>
      </w:r>
      <w:proofErr w:type="gramEnd"/>
      <w:r>
        <w:t xml:space="preserve"> dalamnya karya pemeliharaan bagi segenap ciptaan. Ada banyak ayat Alkitab yang menerangkan tentang Providensia Allah tetapi dalam tulisan ini tidak </w:t>
      </w:r>
      <w:proofErr w:type="gramStart"/>
      <w:r>
        <w:t>akan</w:t>
      </w:r>
      <w:proofErr w:type="gramEnd"/>
      <w:r>
        <w:t xml:space="preserve"> dibahas satu per satu. </w:t>
      </w:r>
      <w:proofErr w:type="gramStart"/>
      <w:r>
        <w:t>Cukuplah dikutip beberapa teks yang memuat pesan atau ajaran mengenai Providensia Allah.</w:t>
      </w:r>
      <w:proofErr w:type="gramEnd"/>
      <w:r>
        <w:t xml:space="preserve"> </w:t>
      </w:r>
    </w:p>
    <w:p w14:paraId="7305884A" w14:textId="77777777" w:rsidR="0051125D" w:rsidRDefault="0051125D" w:rsidP="0051125D">
      <w:pPr>
        <w:spacing w:line="360" w:lineRule="auto"/>
        <w:ind w:firstLine="720"/>
      </w:pPr>
      <w:r w:rsidRPr="00BB00BE">
        <w:rPr>
          <w:b/>
          <w:bCs/>
          <w:i/>
          <w:iCs/>
        </w:rPr>
        <w:t>Pertama</w:t>
      </w:r>
      <w:r>
        <w:t xml:space="preserve">, perhatikan kisah tentang Abraham yang akan mempersembahkan korban bagi Allah di Bukit Moria sebagaimana yang </w:t>
      </w:r>
      <w:proofErr w:type="gramStart"/>
      <w:r>
        <w:t>tercantum  dalam</w:t>
      </w:r>
      <w:proofErr w:type="gramEnd"/>
      <w:r>
        <w:t xml:space="preserve"> Kejadian 22:8 dan 14. Pada kedua ayat ini, muncul frasa yang </w:t>
      </w:r>
      <w:proofErr w:type="gramStart"/>
      <w:r>
        <w:t>sama</w:t>
      </w:r>
      <w:proofErr w:type="gramEnd"/>
      <w:r>
        <w:t xml:space="preserve"> yaitu “Allah/Tuhan menyediakan”. </w:t>
      </w:r>
      <w:proofErr w:type="gramStart"/>
      <w:r>
        <w:t>Menyediakan di sini bisa diparalelkan dengan istilah Allah menyelenggarakan.</w:t>
      </w:r>
      <w:proofErr w:type="gramEnd"/>
      <w:r>
        <w:rPr>
          <w:rStyle w:val="FootnoteReference"/>
        </w:rPr>
        <w:footnoteReference w:id="21"/>
      </w:r>
      <w:r>
        <w:t xml:space="preserve"> </w:t>
      </w:r>
    </w:p>
    <w:p w14:paraId="364A7199" w14:textId="77777777" w:rsidR="0051125D" w:rsidRDefault="0051125D" w:rsidP="0051125D">
      <w:pPr>
        <w:spacing w:line="360" w:lineRule="auto"/>
        <w:ind w:firstLine="720"/>
      </w:pPr>
      <w:r>
        <w:rPr>
          <w:b/>
          <w:bCs/>
          <w:i/>
          <w:iCs/>
        </w:rPr>
        <w:t xml:space="preserve">Kedua, </w:t>
      </w:r>
      <w:r>
        <w:t xml:space="preserve">karena Providensia memiliki arti pemeliharaan maka perlu digalih lagi, </w:t>
      </w:r>
      <w:proofErr w:type="gramStart"/>
      <w:r>
        <w:t>apa</w:t>
      </w:r>
      <w:proofErr w:type="gramEnd"/>
      <w:r>
        <w:t xml:space="preserve"> tujuan dari pemeliharaan Allah atau karya cipta-Nya? </w:t>
      </w:r>
      <w:proofErr w:type="gramStart"/>
      <w:r>
        <w:t>Di dalam Perjanjian Baru, khususnya teks Roma 8:28 menjelaskan hal ini.</w:t>
      </w:r>
      <w:proofErr w:type="gramEnd"/>
      <w:r>
        <w:t xml:space="preserve"> </w:t>
      </w:r>
      <w:proofErr w:type="gramStart"/>
      <w:r>
        <w:t>Tujuan akhir dari pemeliharaan ini adalah membawa kebaikan bagi manusia.</w:t>
      </w:r>
      <w:proofErr w:type="gramEnd"/>
      <w:r>
        <w:t xml:space="preserve"> Allah memelihara bumi ini secara universal atau umum, tetapi dalam kasih kekal-Nya hal ini dilakukan juga secara </w:t>
      </w:r>
      <w:proofErr w:type="gramStart"/>
      <w:r>
        <w:t>khusus  “</w:t>
      </w:r>
      <w:proofErr w:type="gramEnd"/>
      <w:r>
        <w:t>bagi mereka yang mengasihi Dia, yaitu bagi mereka yang terpanggil sesuai dengan rencana Allah.”</w:t>
      </w:r>
      <w:r>
        <w:rPr>
          <w:rStyle w:val="FootnoteReference"/>
        </w:rPr>
        <w:footnoteReference w:id="22"/>
      </w:r>
    </w:p>
    <w:p w14:paraId="60F4D804" w14:textId="77777777" w:rsidR="0051125D" w:rsidRDefault="0051125D" w:rsidP="0051125D">
      <w:pPr>
        <w:spacing w:line="360" w:lineRule="auto"/>
        <w:ind w:firstLine="720"/>
      </w:pPr>
      <w:r>
        <w:lastRenderedPageBreak/>
        <w:t>Selain penjelasan ringkas mengenai kedua teks di atas sebagai representasi Perjanjian Lama dan Perjanjian Baru yang secara terang menjelaskan makna providensia, ada juga teks lain yang menjelaskan makna providensia, seperti Mazmur 104:30, Kejadian 1:28, Kejadian 2:8-25, Yohanes 5;17, dan teks-teks yang lain.</w:t>
      </w:r>
      <w:r>
        <w:rPr>
          <w:rStyle w:val="FootnoteReference"/>
        </w:rPr>
        <w:footnoteReference w:id="23"/>
      </w:r>
    </w:p>
    <w:p w14:paraId="2C0FFEB3" w14:textId="77777777" w:rsidR="0051125D" w:rsidRPr="0051125D" w:rsidRDefault="0051125D" w:rsidP="0051125D">
      <w:pPr>
        <w:spacing w:line="360" w:lineRule="auto"/>
        <w:ind w:firstLine="0"/>
        <w:rPr>
          <w:b/>
          <w:bCs/>
        </w:rPr>
      </w:pPr>
      <w:r w:rsidRPr="0051125D">
        <w:rPr>
          <w:b/>
          <w:bCs/>
        </w:rPr>
        <w:t>Ketika Teodice dan Providensia Allah di Perhadapkan dalam Masalah Kematian</w:t>
      </w:r>
    </w:p>
    <w:p w14:paraId="7CAAEC6B" w14:textId="77777777" w:rsidR="0051125D" w:rsidRDefault="0051125D" w:rsidP="0051125D">
      <w:pPr>
        <w:spacing w:line="360" w:lineRule="auto"/>
      </w:pPr>
      <w:proofErr w:type="gramStart"/>
      <w:r>
        <w:t>Pada prinsipnya, paham teodice selalu memandang manusia dan segala perbuatannya sebagai sumber penderitaan.</w:t>
      </w:r>
      <w:proofErr w:type="gramEnd"/>
      <w:r>
        <w:t xml:space="preserve"> </w:t>
      </w:r>
      <w:proofErr w:type="gramStart"/>
      <w:r>
        <w:t>Baik kejahatan, perang, bahkan kematian itu dapat terjadi karena paham kejatuhan manusia ke dalam dosa.</w:t>
      </w:r>
      <w:proofErr w:type="gramEnd"/>
      <w:r>
        <w:t xml:space="preserve"> </w:t>
      </w:r>
      <w:proofErr w:type="gramStart"/>
      <w:r>
        <w:t>Tuhan dalam paham teodice selalu direpresentasikan sebagai yang baik.</w:t>
      </w:r>
      <w:proofErr w:type="gramEnd"/>
      <w:r>
        <w:t xml:space="preserve"> </w:t>
      </w:r>
      <w:proofErr w:type="gramStart"/>
      <w:r>
        <w:t>Kuasa-Nya itu untuk digunakan secara sewenang-wenang untuk menghukum.</w:t>
      </w:r>
      <w:proofErr w:type="gramEnd"/>
      <w:r>
        <w:t xml:space="preserve"> </w:t>
      </w:r>
      <w:proofErr w:type="gramStart"/>
      <w:r>
        <w:t>Sekali lagi, jika penderitaan itu manusia alami maka itu sudahlah pasti dikarenakan bobroknya moral manusia.</w:t>
      </w:r>
      <w:proofErr w:type="gramEnd"/>
      <w:r>
        <w:rPr>
          <w:rStyle w:val="FootnoteReference"/>
        </w:rPr>
        <w:footnoteReference w:id="24"/>
      </w:r>
    </w:p>
    <w:p w14:paraId="443CCB71" w14:textId="77777777" w:rsidR="0051125D" w:rsidRDefault="0051125D" w:rsidP="0051125D">
      <w:pPr>
        <w:spacing w:line="360" w:lineRule="auto"/>
        <w:ind w:firstLine="720"/>
      </w:pPr>
      <w:r>
        <w:t xml:space="preserve">C. S. Lewis mencoba memahami teodice dari sudut yang berbeda sebagaimana yang dikemukakan oleh Esther Gunawan. </w:t>
      </w:r>
      <w:proofErr w:type="gramStart"/>
      <w:r>
        <w:t>Baginya, membahas teodice dan kehendak bebas itu harus dilihat sebagai suatu anugerah.</w:t>
      </w:r>
      <w:proofErr w:type="gramEnd"/>
      <w:r>
        <w:t xml:space="preserve"> </w:t>
      </w:r>
      <w:proofErr w:type="gramStart"/>
      <w:r>
        <w:t>Hanya saja, anugerah itu kemudian punya dua sisi sebagai respons manusia, yaitu anugerah itu apakah direspons sebagai sarana menjadi lebih baik atau sebaliknya makin buruk.</w:t>
      </w:r>
      <w:proofErr w:type="gramEnd"/>
      <w:r>
        <w:rPr>
          <w:rStyle w:val="FootnoteReference"/>
        </w:rPr>
        <w:footnoteReference w:id="25"/>
      </w:r>
    </w:p>
    <w:p w14:paraId="6B559094" w14:textId="77777777" w:rsidR="0051125D" w:rsidRDefault="0051125D" w:rsidP="0051125D">
      <w:pPr>
        <w:spacing w:line="360" w:lineRule="auto"/>
        <w:ind w:firstLine="720"/>
      </w:pPr>
      <w:proofErr w:type="gramStart"/>
      <w:r>
        <w:t>Perihal kejatuhan manusia itu dilihat sebagai kesalahan manusia dalam merespons kehendak bebas maka apakah berarti itu kemudian Allah gagal di dalam mengendalikan, memerintah, atau memelihara ciptaannya untuk tetap teratur?</w:t>
      </w:r>
      <w:proofErr w:type="gramEnd"/>
      <w:r>
        <w:t xml:space="preserve"> Tidak demikian! </w:t>
      </w:r>
      <w:proofErr w:type="gramStart"/>
      <w:r>
        <w:t>Calvin justru melihat bahwa lewat kemahakuasaan Allah itu langit dan bumi serta segala yang ada di dalamnya tetap dibina dan dipelihara oleh-Nya sehingga apapun yang terjadi tidak di luar putusan-Nya.</w:t>
      </w:r>
      <w:proofErr w:type="gramEnd"/>
      <w:r>
        <w:rPr>
          <w:rStyle w:val="FootnoteReference"/>
        </w:rPr>
        <w:footnoteReference w:id="26"/>
      </w:r>
    </w:p>
    <w:p w14:paraId="4C98787F" w14:textId="77777777" w:rsidR="0051125D" w:rsidRPr="001521DB" w:rsidRDefault="0051125D" w:rsidP="0051125D">
      <w:pPr>
        <w:spacing w:line="360" w:lineRule="auto"/>
        <w:ind w:firstLine="720"/>
      </w:pPr>
      <w:proofErr w:type="gramStart"/>
      <w:r>
        <w:lastRenderedPageBreak/>
        <w:t>Pandangan ini kemudian berkorelasi dengan paham Boff mengenai karya pembebasan yang Sang Putra kerjakan.</w:t>
      </w:r>
      <w:proofErr w:type="gramEnd"/>
      <w:r>
        <w:t xml:space="preserve"> </w:t>
      </w:r>
      <w:proofErr w:type="gramStart"/>
      <w:r>
        <w:t>Kematian Kristus kemudian membebaskan manusia dari rupa-rupa penindasan bahkan penderitaan.</w:t>
      </w:r>
      <w:proofErr w:type="gramEnd"/>
      <w:r>
        <w:rPr>
          <w:rStyle w:val="FootnoteReference"/>
        </w:rPr>
        <w:footnoteReference w:id="27"/>
      </w:r>
      <w:r>
        <w:t xml:space="preserve"> Dalam terang pemahaman inilah maka providensia Allah sebagai </w:t>
      </w:r>
      <w:proofErr w:type="gramStart"/>
      <w:r>
        <w:t>cara</w:t>
      </w:r>
      <w:proofErr w:type="gramEnd"/>
      <w:r>
        <w:t xml:space="preserve"> Allah menyatakan eksistensinya tetap berlaku dalam sejarah hidup manusia. </w:t>
      </w:r>
      <w:proofErr w:type="gramStart"/>
      <w:r>
        <w:t>Dunia sebagai dasar pijak kehadiran manusia itu selalu membutuhkan topangan dari Allah.</w:t>
      </w:r>
      <w:proofErr w:type="gramEnd"/>
      <w:r>
        <w:t xml:space="preserve"> </w:t>
      </w:r>
      <w:proofErr w:type="gramStart"/>
      <w:r>
        <w:t>Topangan Allah itu hanya semata-mata dimaksudkan agar semua yang telah ada berjalan menuju kepada penggenapan rencana Allah.</w:t>
      </w:r>
      <w:proofErr w:type="gramEnd"/>
      <w:r>
        <w:rPr>
          <w:rStyle w:val="FootnoteReference"/>
        </w:rPr>
        <w:footnoteReference w:id="28"/>
      </w:r>
      <w:r>
        <w:t xml:space="preserve"> </w:t>
      </w:r>
      <w:proofErr w:type="gramStart"/>
      <w:r>
        <w:t>Ini juga bermakna bahwa kematian kemudian tidak serta-merta menggagalkan rencana dan pemeliharaan Allah atas kehidupan manusia.</w:t>
      </w:r>
      <w:proofErr w:type="gramEnd"/>
      <w:r>
        <w:t xml:space="preserve"> Jauh dari pada itu, kematian harus dilihat sebagai </w:t>
      </w:r>
      <w:proofErr w:type="gramStart"/>
      <w:r>
        <w:t>cara</w:t>
      </w:r>
      <w:proofErr w:type="gramEnd"/>
      <w:r>
        <w:t xml:space="preserve"> Allah meneguhkan iman manusia dan manusia menautkan diri sepenuhnya pada Allah.</w:t>
      </w:r>
    </w:p>
    <w:p w14:paraId="10538E36" w14:textId="77777777" w:rsidR="0051125D" w:rsidRPr="0051125D" w:rsidRDefault="0051125D" w:rsidP="0051125D">
      <w:pPr>
        <w:spacing w:line="360" w:lineRule="auto"/>
        <w:ind w:firstLine="0"/>
        <w:rPr>
          <w:b/>
          <w:bCs/>
        </w:rPr>
      </w:pPr>
      <w:r w:rsidRPr="0051125D">
        <w:rPr>
          <w:b/>
          <w:bCs/>
        </w:rPr>
        <w:t>Bagaimana Harusnya Manusia Memandang Penderitaan? Refleksi atas Providensia Allah</w:t>
      </w:r>
    </w:p>
    <w:p w14:paraId="70835A92" w14:textId="77777777" w:rsidR="0051125D" w:rsidRDefault="0051125D" w:rsidP="0051125D">
      <w:pPr>
        <w:spacing w:line="360" w:lineRule="auto"/>
      </w:pPr>
      <w:proofErr w:type="gramStart"/>
      <w:r>
        <w:t>Dari awal hingga akhir tulisan ini telah jelas diperlihatkan bahwa penderitaan melalui kematian itu adalah bagian integral dari kehidupan.</w:t>
      </w:r>
      <w:proofErr w:type="gramEnd"/>
      <w:r>
        <w:t xml:space="preserve"> </w:t>
      </w:r>
      <w:proofErr w:type="gramStart"/>
      <w:r>
        <w:t>Karena itu, sikap terhadap kematian merupakan langkah iman yang harus diperlihatkan.</w:t>
      </w:r>
      <w:proofErr w:type="gramEnd"/>
      <w:r>
        <w:t xml:space="preserve"> </w:t>
      </w:r>
      <w:proofErr w:type="gramStart"/>
      <w:r>
        <w:t>Dalam perkembangannya, ada konstruksi terhadap segala yang terjadi, termasuk di dalamnya memandang penderitaan (kematian).</w:t>
      </w:r>
      <w:proofErr w:type="gramEnd"/>
      <w:r>
        <w:t xml:space="preserve"> </w:t>
      </w:r>
    </w:p>
    <w:p w14:paraId="7A3692A4" w14:textId="77777777" w:rsidR="0051125D" w:rsidRDefault="0051125D" w:rsidP="0051125D">
      <w:pPr>
        <w:spacing w:line="360" w:lineRule="auto"/>
        <w:ind w:firstLine="720"/>
      </w:pPr>
      <w:proofErr w:type="gramStart"/>
      <w:r>
        <w:t>Penderitaan pada dasarnya merupakan sebuah fakta hidup.</w:t>
      </w:r>
      <w:proofErr w:type="gramEnd"/>
      <w:r>
        <w:t xml:space="preserve"> Mengingat </w:t>
      </w:r>
      <w:proofErr w:type="gramStart"/>
      <w:r>
        <w:t>ia</w:t>
      </w:r>
      <w:proofErr w:type="gramEnd"/>
      <w:r>
        <w:t xml:space="preserve"> adalah fakta hidup, maka tidak semestinya ada sikap menolak sebab ketika menolak maka penderitaan justru hanya akan dilihat sebagai sesuatu yang absurd atau sia-sia. </w:t>
      </w:r>
      <w:proofErr w:type="gramStart"/>
      <w:r>
        <w:t>Dalam perspektif ini maka manusia kemudian perlu belajar untuk tidak selamanya memandang penderitaan sebagai sesuatu yang selalu berkonotasi negatif.</w:t>
      </w:r>
      <w:proofErr w:type="gramEnd"/>
      <w:r>
        <w:t xml:space="preserve"> </w:t>
      </w:r>
      <w:proofErr w:type="gramStart"/>
      <w:r>
        <w:t>Memang benar bahwa penderitaan itu dapat membuat manusia putus asa, kecewa.</w:t>
      </w:r>
      <w:proofErr w:type="gramEnd"/>
      <w:r>
        <w:t xml:space="preserve"> Tetapi, jika penderitaan itu </w:t>
      </w:r>
      <w:r>
        <w:lastRenderedPageBreak/>
        <w:t xml:space="preserve">dilihat sebagai fakta hidup maka manusia beriman </w:t>
      </w:r>
      <w:proofErr w:type="gramStart"/>
      <w:r>
        <w:t>akan</w:t>
      </w:r>
      <w:proofErr w:type="gramEnd"/>
      <w:r>
        <w:t xml:space="preserve"> belajar insaf dan menerimanya sebagai bagian pembentukan jati diri sebagai orang percaya.</w:t>
      </w:r>
      <w:r>
        <w:rPr>
          <w:rStyle w:val="FootnoteReference"/>
        </w:rPr>
        <w:footnoteReference w:id="29"/>
      </w:r>
    </w:p>
    <w:p w14:paraId="1AA4844F" w14:textId="77777777" w:rsidR="0051125D" w:rsidRDefault="0051125D" w:rsidP="0051125D">
      <w:pPr>
        <w:spacing w:line="360" w:lineRule="auto"/>
        <w:ind w:firstLine="720"/>
      </w:pPr>
      <w:proofErr w:type="gramStart"/>
      <w:r>
        <w:t>Pradipta menawarkan bahwa kematian sebaiknya dipahami sebagai pengalaman.</w:t>
      </w:r>
      <w:proofErr w:type="gramEnd"/>
      <w:r>
        <w:t xml:space="preserve"> Itu artinya bahwa kematian itu menjadi milik siapa saja dan </w:t>
      </w:r>
      <w:proofErr w:type="gramStart"/>
      <w:r>
        <w:t>akan</w:t>
      </w:r>
      <w:proofErr w:type="gramEnd"/>
      <w:r>
        <w:t xml:space="preserve"> pula terjadi pada orang tersebut. </w:t>
      </w:r>
      <w:proofErr w:type="gramStart"/>
      <w:r>
        <w:t>Melalui kematian, orang percaya lantas disadarkan tentang segala keterbatasan yang ada pada dirinya.</w:t>
      </w:r>
      <w:proofErr w:type="gramEnd"/>
      <w:r>
        <w:t xml:space="preserve"> Dengan </w:t>
      </w:r>
      <w:proofErr w:type="gramStart"/>
      <w:r>
        <w:t>cara</w:t>
      </w:r>
      <w:proofErr w:type="gramEnd"/>
      <w:r>
        <w:t xml:space="preserve"> pandang semacam ini, maka orang lantas dapat berpikir secara jernih dan baru di dalam melihat realitas kematian yang sementara membayangi kehidupannya.</w:t>
      </w:r>
      <w:r>
        <w:rPr>
          <w:rStyle w:val="FootnoteReference"/>
        </w:rPr>
        <w:footnoteReference w:id="30"/>
      </w:r>
    </w:p>
    <w:p w14:paraId="34747F60" w14:textId="77777777" w:rsidR="0051125D" w:rsidRDefault="0051125D" w:rsidP="0051125D">
      <w:pPr>
        <w:spacing w:line="360" w:lineRule="auto"/>
        <w:ind w:firstLine="720"/>
      </w:pPr>
      <w:proofErr w:type="gramStart"/>
      <w:r>
        <w:t>Niftrik dan Boland pun senada dengan kedua tesis di atas.</w:t>
      </w:r>
      <w:proofErr w:type="gramEnd"/>
      <w:r>
        <w:t xml:space="preserve"> </w:t>
      </w:r>
      <w:proofErr w:type="gramStart"/>
      <w:r>
        <w:t>Bagi mereka, ketika membahas tentang penderitaan dan providensia maka tentulah di dalamnya ada perimbangan antara hal-hal menyedihkan dan hal-hal yang menggembirakan.</w:t>
      </w:r>
      <w:proofErr w:type="gramEnd"/>
      <w:r>
        <w:t xml:space="preserve"> </w:t>
      </w:r>
      <w:proofErr w:type="gramStart"/>
      <w:r>
        <w:t>Justru ketika ada kematian sebagai bagian yang kerap dilihat sebagai penderitaan, maka manusia perlu belajar untuk memahami hal ini secara teologis.</w:t>
      </w:r>
      <w:proofErr w:type="gramEnd"/>
      <w:r>
        <w:t xml:space="preserve"> </w:t>
      </w:r>
      <w:proofErr w:type="gramStart"/>
      <w:r>
        <w:t>Karena itu dibalik semua penderitaan, termasuk kematian, manusia harus memandang pada Kristus.</w:t>
      </w:r>
      <w:proofErr w:type="gramEnd"/>
      <w:r>
        <w:t xml:space="preserve"> </w:t>
      </w:r>
      <w:proofErr w:type="gramStart"/>
      <w:r>
        <w:t>Malah dalam eksistensial macam ini, jika berjumpa dengan Allah, manusia makin percaya dan memberi dirinya kepada Allah.</w:t>
      </w:r>
      <w:proofErr w:type="gramEnd"/>
      <w:r>
        <w:t xml:space="preserve"> Dari situ, </w:t>
      </w:r>
      <w:proofErr w:type="gramStart"/>
      <w:r>
        <w:t>akan</w:t>
      </w:r>
      <w:proofErr w:type="gramEnd"/>
      <w:r>
        <w:t xml:space="preserve"> timbul pengakuan bahwa Allah yang memerintah dunia, dan karenanya, Ia menuntun semua yang terjadi kepada tujuan yang sudah dirancangkan-Nya.</w:t>
      </w:r>
      <w:r>
        <w:rPr>
          <w:rStyle w:val="FootnoteReference"/>
        </w:rPr>
        <w:footnoteReference w:id="31"/>
      </w:r>
      <w:r>
        <w:t xml:space="preserve"> Jika </w:t>
      </w:r>
      <w:proofErr w:type="gramStart"/>
      <w:r>
        <w:t>cara</w:t>
      </w:r>
      <w:proofErr w:type="gramEnd"/>
      <w:r>
        <w:t xml:space="preserve"> berpikir ini diterima maka sudahlah pasti bahwa sikap cemas dan takut itu bisa diatasi. </w:t>
      </w:r>
    </w:p>
    <w:p w14:paraId="744753F3" w14:textId="77777777" w:rsidR="0051125D" w:rsidRDefault="0051125D" w:rsidP="0051125D">
      <w:pPr>
        <w:spacing w:line="360" w:lineRule="auto"/>
        <w:ind w:firstLine="720"/>
      </w:pPr>
      <w:r>
        <w:t xml:space="preserve">Karl Rahner, sebagaimana yang dikutip oleh Pradipta malah membicarakan tentang kematian sebagai bagian dari manusia dapat berjumpa dengan belas kasih Allah. </w:t>
      </w:r>
      <w:proofErr w:type="gramStart"/>
      <w:r>
        <w:t>Itu artinya bahwa dalam realitas kematian sekalipun, manusia sudah tentu dapat berjumpa dengan Allah.</w:t>
      </w:r>
      <w:proofErr w:type="gramEnd"/>
      <w:r>
        <w:t xml:space="preserve"> </w:t>
      </w:r>
      <w:proofErr w:type="gramStart"/>
      <w:r>
        <w:t>Allah pun berkarya penuh dalam realitas kematian.</w:t>
      </w:r>
      <w:proofErr w:type="gramEnd"/>
      <w:r>
        <w:t xml:space="preserve"> </w:t>
      </w:r>
      <w:proofErr w:type="gramStart"/>
      <w:r>
        <w:t>Mengapa hal ini bisa terjadi?</w:t>
      </w:r>
      <w:proofErr w:type="gramEnd"/>
      <w:r>
        <w:t xml:space="preserve"> </w:t>
      </w:r>
      <w:proofErr w:type="gramStart"/>
      <w:r>
        <w:t>Rahner mengaitkan kematian manusia dengan kematian Kristus.</w:t>
      </w:r>
      <w:proofErr w:type="gramEnd"/>
      <w:r>
        <w:t xml:space="preserve"> </w:t>
      </w:r>
      <w:proofErr w:type="gramStart"/>
      <w:r>
        <w:t xml:space="preserve">Baginya, Kristus </w:t>
      </w:r>
      <w:r>
        <w:lastRenderedPageBreak/>
        <w:t>yang telah mati itu telah membayar lunas dan tuntas hutang dosa.</w:t>
      </w:r>
      <w:proofErr w:type="gramEnd"/>
      <w:r>
        <w:t xml:space="preserve"> Di sinilah titik keunikan dari kematian kristiani, yaitu barang siapa yang mati dengan Kristus, serentak </w:t>
      </w:r>
      <w:proofErr w:type="gramStart"/>
      <w:r>
        <w:t>ia</w:t>
      </w:r>
      <w:proofErr w:type="gramEnd"/>
      <w:r>
        <w:t xml:space="preserve"> pun akan hidup dengan Kristus (lih.2 Tim 2:11, Roma 6:8).</w:t>
      </w:r>
      <w:r>
        <w:rPr>
          <w:rStyle w:val="FootnoteReference"/>
        </w:rPr>
        <w:footnoteReference w:id="32"/>
      </w:r>
    </w:p>
    <w:p w14:paraId="6F6C7574" w14:textId="77777777" w:rsidR="0051125D" w:rsidRDefault="0051125D" w:rsidP="0051125D">
      <w:pPr>
        <w:spacing w:line="360" w:lineRule="auto"/>
        <w:ind w:firstLine="0"/>
        <w:rPr>
          <w:b/>
          <w:bCs/>
        </w:rPr>
      </w:pPr>
      <w:r>
        <w:rPr>
          <w:b/>
          <w:bCs/>
        </w:rPr>
        <w:t>KESIMPULAN</w:t>
      </w:r>
    </w:p>
    <w:p w14:paraId="2EE2DDCD" w14:textId="77777777" w:rsidR="0051125D" w:rsidRPr="00D94500" w:rsidRDefault="0051125D" w:rsidP="0051125D">
      <w:pPr>
        <w:spacing w:line="360" w:lineRule="auto"/>
      </w:pPr>
      <w:proofErr w:type="gramStart"/>
      <w:r>
        <w:t>Pembahasan seputaran topik providensia sejatinya tidak bisa dilepaskan dari peran atau karya Allah atas pentas sejarah dunia.</w:t>
      </w:r>
      <w:proofErr w:type="gramEnd"/>
      <w:r>
        <w:t xml:space="preserve"> </w:t>
      </w:r>
      <w:proofErr w:type="gramStart"/>
      <w:r>
        <w:t>Allah turut bekerja untuk mendatangkan kebaikan atas semua karya cipta-Nya.</w:t>
      </w:r>
      <w:proofErr w:type="gramEnd"/>
      <w:r>
        <w:t xml:space="preserve"> </w:t>
      </w:r>
      <w:proofErr w:type="gramStart"/>
      <w:r>
        <w:t>Untuk mewujudkan hal ini, maka kontrol Allah atas dunia ini terus dilakukan.</w:t>
      </w:r>
      <w:proofErr w:type="gramEnd"/>
      <w:r>
        <w:t xml:space="preserve"> Hanya saja, ketika providensia ini dimaknai sebagai suatu pengalaman iman maka </w:t>
      </w:r>
      <w:proofErr w:type="gramStart"/>
      <w:r>
        <w:t>ia</w:t>
      </w:r>
      <w:proofErr w:type="gramEnd"/>
      <w:r>
        <w:t xml:space="preserve"> tidak bisa dilepaskan juga dari pengalaman hidup manusia. </w:t>
      </w:r>
      <w:proofErr w:type="gramStart"/>
      <w:r>
        <w:t>Baik providensia dan pengalaman tentang penderitaan itu merupakan paradoks.</w:t>
      </w:r>
      <w:proofErr w:type="gramEnd"/>
      <w:r>
        <w:t xml:space="preserve"> </w:t>
      </w:r>
      <w:proofErr w:type="gramStart"/>
      <w:r>
        <w:t>Serentak kita memahami bahwa Allah memelihara kita tetapi serentak juga tidak bisa menyangkali persoalan eksistensial, seperti kematian.</w:t>
      </w:r>
      <w:proofErr w:type="gramEnd"/>
      <w:r>
        <w:t xml:space="preserve"> </w:t>
      </w:r>
      <w:proofErr w:type="gramStart"/>
      <w:r>
        <w:t>Karenanya, pembahasan mengenai providensia itu baru bisa tuntas apabila manusia benar-benar memahami bahwa kematian itu adalah fenomena biasa, layaknya pengalaman hidup lainnya.</w:t>
      </w:r>
      <w:proofErr w:type="gramEnd"/>
      <w:r>
        <w:t xml:space="preserve"> Ketika manusia telah sampai pada tingkat pemahaman seperti ini maka manusia pun menjadi sadar sekalipun kematian itu pasti tetapi itu tidak </w:t>
      </w:r>
      <w:proofErr w:type="gramStart"/>
      <w:r>
        <w:t>akan</w:t>
      </w:r>
      <w:proofErr w:type="gramEnd"/>
      <w:r>
        <w:t xml:space="preserve"> pernah membatalkan karya pemeliharaan Allah atas dunia ini. </w:t>
      </w:r>
      <w:proofErr w:type="gramStart"/>
      <w:r>
        <w:t>Ia</w:t>
      </w:r>
      <w:proofErr w:type="gramEnd"/>
      <w:r>
        <w:t xml:space="preserve"> akan tetap berkarya dan juga tetap memastikan bahwa semua baik adanya seperti ketika Ia menciptakan seisi dunia dan kemudian dengan saksama memerhatikan lalu dengan tegas berkata, “Sungguh semua itu amat baik”.</w:t>
      </w:r>
    </w:p>
    <w:p w14:paraId="5063C249" w14:textId="77777777" w:rsidR="0051125D" w:rsidRDefault="0051125D" w:rsidP="0051125D">
      <w:pPr>
        <w:spacing w:line="360" w:lineRule="auto"/>
        <w:rPr>
          <w:b/>
          <w:bCs/>
        </w:rPr>
      </w:pPr>
    </w:p>
    <w:p w14:paraId="1E2148EE" w14:textId="77777777" w:rsidR="0051125D" w:rsidRDefault="0051125D" w:rsidP="0051125D">
      <w:pPr>
        <w:spacing w:line="360" w:lineRule="auto"/>
        <w:rPr>
          <w:b/>
          <w:bCs/>
        </w:rPr>
      </w:pPr>
    </w:p>
    <w:p w14:paraId="7DF7A734" w14:textId="77777777" w:rsidR="0051125D" w:rsidRDefault="0051125D" w:rsidP="0051125D">
      <w:pPr>
        <w:spacing w:line="360" w:lineRule="auto"/>
        <w:rPr>
          <w:b/>
          <w:bCs/>
        </w:rPr>
      </w:pPr>
    </w:p>
    <w:p w14:paraId="20D66071" w14:textId="77777777" w:rsidR="0051125D" w:rsidRDefault="0051125D" w:rsidP="0051125D">
      <w:pPr>
        <w:spacing w:line="360" w:lineRule="auto"/>
        <w:rPr>
          <w:b/>
          <w:bCs/>
        </w:rPr>
      </w:pPr>
    </w:p>
    <w:p w14:paraId="4341BF78" w14:textId="77777777" w:rsidR="0051125D" w:rsidRPr="00FA6423" w:rsidRDefault="0051125D" w:rsidP="0051125D">
      <w:pPr>
        <w:spacing w:line="360" w:lineRule="auto"/>
        <w:ind w:firstLine="0"/>
        <w:jc w:val="center"/>
        <w:rPr>
          <w:b/>
          <w:bCs/>
        </w:rPr>
      </w:pPr>
      <w:r>
        <w:rPr>
          <w:b/>
          <w:bCs/>
        </w:rPr>
        <w:lastRenderedPageBreak/>
        <w:t>DAFTAR PUSTAKA</w:t>
      </w:r>
    </w:p>
    <w:p w14:paraId="4C5B3EA7" w14:textId="77777777" w:rsidR="0051125D" w:rsidRDefault="0051125D" w:rsidP="0051125D">
      <w:pPr>
        <w:pStyle w:val="FootnoteText"/>
        <w:spacing w:line="360" w:lineRule="auto"/>
        <w:ind w:left="720" w:hanging="720"/>
        <w:rPr>
          <w:sz w:val="24"/>
          <w:szCs w:val="24"/>
        </w:rPr>
      </w:pPr>
      <w:r>
        <w:rPr>
          <w:sz w:val="24"/>
          <w:szCs w:val="24"/>
        </w:rPr>
        <w:t xml:space="preserve">Bavinck, Herman. </w:t>
      </w:r>
      <w:proofErr w:type="gramStart"/>
      <w:r w:rsidRPr="00382FFE">
        <w:rPr>
          <w:i/>
          <w:iCs/>
          <w:sz w:val="24"/>
          <w:szCs w:val="24"/>
        </w:rPr>
        <w:t>Reformed  Dogmatics</w:t>
      </w:r>
      <w:proofErr w:type="gramEnd"/>
      <w:r>
        <w:rPr>
          <w:sz w:val="24"/>
          <w:szCs w:val="24"/>
        </w:rPr>
        <w:t xml:space="preserve">. </w:t>
      </w:r>
      <w:proofErr w:type="gramStart"/>
      <w:r>
        <w:rPr>
          <w:sz w:val="24"/>
          <w:szCs w:val="24"/>
        </w:rPr>
        <w:t>Michigan :</w:t>
      </w:r>
      <w:proofErr w:type="gramEnd"/>
      <w:r>
        <w:rPr>
          <w:sz w:val="24"/>
          <w:szCs w:val="24"/>
        </w:rPr>
        <w:t xml:space="preserve"> Baker Academic, 2011.</w:t>
      </w:r>
    </w:p>
    <w:p w14:paraId="637F6143" w14:textId="77777777" w:rsidR="0051125D" w:rsidRDefault="0051125D" w:rsidP="001E5F80">
      <w:pPr>
        <w:pStyle w:val="FootnoteText"/>
        <w:spacing w:line="360" w:lineRule="auto"/>
        <w:ind w:firstLine="0"/>
        <w:rPr>
          <w:sz w:val="24"/>
          <w:szCs w:val="24"/>
        </w:rPr>
      </w:pPr>
      <w:r>
        <w:rPr>
          <w:sz w:val="24"/>
          <w:szCs w:val="24"/>
        </w:rPr>
        <w:t xml:space="preserve">Boff, Leonardo. </w:t>
      </w:r>
      <w:proofErr w:type="gramStart"/>
      <w:r w:rsidRPr="009063B4">
        <w:rPr>
          <w:i/>
          <w:iCs/>
          <w:sz w:val="24"/>
          <w:szCs w:val="24"/>
        </w:rPr>
        <w:t>Allah Persekutuan</w:t>
      </w:r>
      <w:r>
        <w:rPr>
          <w:sz w:val="24"/>
          <w:szCs w:val="24"/>
        </w:rPr>
        <w:t>.</w:t>
      </w:r>
      <w:proofErr w:type="gramEnd"/>
      <w:r>
        <w:rPr>
          <w:sz w:val="24"/>
          <w:szCs w:val="24"/>
        </w:rPr>
        <w:t xml:space="preserve"> </w:t>
      </w:r>
      <w:proofErr w:type="gramStart"/>
      <w:r>
        <w:rPr>
          <w:sz w:val="24"/>
          <w:szCs w:val="24"/>
        </w:rPr>
        <w:t>Maumere :</w:t>
      </w:r>
      <w:proofErr w:type="gramEnd"/>
      <w:r>
        <w:rPr>
          <w:sz w:val="24"/>
          <w:szCs w:val="24"/>
        </w:rPr>
        <w:t xml:space="preserve"> Penerbit Ledalero, 2004.</w:t>
      </w:r>
    </w:p>
    <w:p w14:paraId="28C323F4" w14:textId="77777777" w:rsidR="0051125D" w:rsidRDefault="0051125D" w:rsidP="001E5F80">
      <w:pPr>
        <w:pStyle w:val="FootnoteText"/>
        <w:spacing w:line="360" w:lineRule="auto"/>
        <w:ind w:firstLine="0"/>
        <w:rPr>
          <w:sz w:val="24"/>
          <w:szCs w:val="24"/>
        </w:rPr>
      </w:pPr>
      <w:r>
        <w:rPr>
          <w:sz w:val="24"/>
          <w:szCs w:val="24"/>
        </w:rPr>
        <w:t xml:space="preserve">Calvin, Yohanis. </w:t>
      </w:r>
      <w:proofErr w:type="gramStart"/>
      <w:r w:rsidRPr="004E1BC4">
        <w:rPr>
          <w:i/>
          <w:iCs/>
          <w:sz w:val="24"/>
          <w:szCs w:val="24"/>
        </w:rPr>
        <w:t>Institutio</w:t>
      </w:r>
      <w:r>
        <w:rPr>
          <w:sz w:val="24"/>
          <w:szCs w:val="24"/>
        </w:rPr>
        <w:t>.</w:t>
      </w:r>
      <w:proofErr w:type="gramEnd"/>
      <w:r>
        <w:rPr>
          <w:sz w:val="24"/>
          <w:szCs w:val="24"/>
        </w:rPr>
        <w:t xml:space="preserve"> </w:t>
      </w:r>
      <w:proofErr w:type="gramStart"/>
      <w:r>
        <w:rPr>
          <w:sz w:val="24"/>
          <w:szCs w:val="24"/>
        </w:rPr>
        <w:t>Jakarta :</w:t>
      </w:r>
      <w:proofErr w:type="gramEnd"/>
      <w:r>
        <w:rPr>
          <w:sz w:val="24"/>
          <w:szCs w:val="24"/>
        </w:rPr>
        <w:t xml:space="preserve"> BPK. Gunung Mulia, 2015.</w:t>
      </w:r>
    </w:p>
    <w:p w14:paraId="61470E99" w14:textId="77777777" w:rsidR="0051125D" w:rsidRDefault="0051125D" w:rsidP="0051125D">
      <w:pPr>
        <w:pStyle w:val="FootnoteText"/>
        <w:spacing w:line="360" w:lineRule="auto"/>
        <w:ind w:left="720" w:hanging="720"/>
        <w:rPr>
          <w:sz w:val="24"/>
          <w:szCs w:val="24"/>
        </w:rPr>
      </w:pPr>
      <w:r>
        <w:rPr>
          <w:sz w:val="24"/>
          <w:szCs w:val="24"/>
        </w:rPr>
        <w:t xml:space="preserve">Gunawan, </w:t>
      </w:r>
      <w:proofErr w:type="gramStart"/>
      <w:r>
        <w:rPr>
          <w:sz w:val="24"/>
          <w:szCs w:val="24"/>
        </w:rPr>
        <w:t>Esther  “</w:t>
      </w:r>
      <w:proofErr w:type="gramEnd"/>
      <w:r>
        <w:rPr>
          <w:sz w:val="24"/>
          <w:szCs w:val="24"/>
        </w:rPr>
        <w:t xml:space="preserve">Meneropong Makna Penderitaan Manusia Menurut Konsep Teodise C. S. Lewis”, </w:t>
      </w:r>
      <w:r w:rsidRPr="008130ED">
        <w:rPr>
          <w:i/>
          <w:iCs/>
          <w:sz w:val="24"/>
          <w:szCs w:val="24"/>
        </w:rPr>
        <w:t>Veritas</w:t>
      </w:r>
      <w:r>
        <w:rPr>
          <w:sz w:val="24"/>
          <w:szCs w:val="24"/>
        </w:rPr>
        <w:t>, Volume 16, Nomor 1, (Juni, 2017) : 23.</w:t>
      </w:r>
    </w:p>
    <w:p w14:paraId="7E07DDF1" w14:textId="77777777" w:rsidR="0051125D" w:rsidRDefault="0051125D" w:rsidP="0051125D">
      <w:pPr>
        <w:pStyle w:val="FootnoteText"/>
        <w:spacing w:line="360" w:lineRule="auto"/>
        <w:ind w:left="720" w:hanging="720"/>
        <w:rPr>
          <w:sz w:val="24"/>
          <w:szCs w:val="24"/>
        </w:rPr>
      </w:pPr>
      <w:r>
        <w:rPr>
          <w:sz w:val="24"/>
          <w:szCs w:val="24"/>
        </w:rPr>
        <w:t xml:space="preserve">Kelelufna, Jusuf H. “Allah Segala Maha di Tengah Fenomena Kekerasan dan Penderitaan Orang Saleh”, </w:t>
      </w:r>
      <w:r w:rsidRPr="002A0DC4">
        <w:rPr>
          <w:i/>
          <w:iCs/>
          <w:sz w:val="24"/>
          <w:szCs w:val="24"/>
        </w:rPr>
        <w:t>KENOSIS</w:t>
      </w:r>
      <w:r>
        <w:rPr>
          <w:sz w:val="24"/>
          <w:szCs w:val="24"/>
        </w:rPr>
        <w:t>, Vol. 3 No. 2. (Desember, 2017</w:t>
      </w:r>
      <w:proofErr w:type="gramStart"/>
      <w:r>
        <w:rPr>
          <w:sz w:val="24"/>
          <w:szCs w:val="24"/>
        </w:rPr>
        <w:t>) :</w:t>
      </w:r>
      <w:proofErr w:type="gramEnd"/>
      <w:r>
        <w:rPr>
          <w:sz w:val="24"/>
          <w:szCs w:val="24"/>
        </w:rPr>
        <w:t xml:space="preserve"> 122.</w:t>
      </w:r>
    </w:p>
    <w:p w14:paraId="0EDA6901" w14:textId="77777777" w:rsidR="0051125D" w:rsidRDefault="0051125D" w:rsidP="0051125D">
      <w:pPr>
        <w:pStyle w:val="FootnoteText"/>
        <w:spacing w:line="360" w:lineRule="auto"/>
        <w:ind w:left="720" w:hanging="720"/>
        <w:rPr>
          <w:sz w:val="24"/>
          <w:szCs w:val="24"/>
        </w:rPr>
      </w:pPr>
      <w:r>
        <w:rPr>
          <w:sz w:val="24"/>
          <w:szCs w:val="24"/>
        </w:rPr>
        <w:t xml:space="preserve">Kewuel, Hipolitus K. “Memandang Tuhan dari Balik Pengalaman Kejahatan, Penderitaan, dan Kematian”, </w:t>
      </w:r>
      <w:r w:rsidRPr="001E5F80">
        <w:rPr>
          <w:i/>
          <w:sz w:val="24"/>
          <w:szCs w:val="24"/>
        </w:rPr>
        <w:t>Jurnal Pendidikan Agama Katolik</w:t>
      </w:r>
      <w:r>
        <w:rPr>
          <w:sz w:val="24"/>
          <w:szCs w:val="24"/>
        </w:rPr>
        <w:t>, Vol. 4, No. 2, (Oktober, 2010) : 267-268.</w:t>
      </w:r>
    </w:p>
    <w:p w14:paraId="6BFB07FA" w14:textId="77777777" w:rsidR="0051125D" w:rsidRDefault="0051125D" w:rsidP="0051125D">
      <w:pPr>
        <w:pStyle w:val="FootnoteText"/>
        <w:spacing w:line="360" w:lineRule="auto"/>
        <w:ind w:left="720" w:hanging="720"/>
        <w:rPr>
          <w:sz w:val="24"/>
          <w:szCs w:val="24"/>
        </w:rPr>
      </w:pPr>
      <w:r>
        <w:rPr>
          <w:sz w:val="24"/>
          <w:szCs w:val="24"/>
        </w:rPr>
        <w:t xml:space="preserve">Kleden, Paul B.  </w:t>
      </w:r>
      <w:r w:rsidRPr="001E5F80">
        <w:rPr>
          <w:i/>
          <w:sz w:val="24"/>
          <w:szCs w:val="24"/>
        </w:rPr>
        <w:t>Membongkar Derita</w:t>
      </w:r>
      <w:r>
        <w:rPr>
          <w:sz w:val="24"/>
          <w:szCs w:val="24"/>
        </w:rPr>
        <w:t xml:space="preserve">. </w:t>
      </w:r>
      <w:proofErr w:type="gramStart"/>
      <w:r>
        <w:rPr>
          <w:sz w:val="24"/>
          <w:szCs w:val="24"/>
        </w:rPr>
        <w:t>Maumere :</w:t>
      </w:r>
      <w:proofErr w:type="gramEnd"/>
      <w:r>
        <w:rPr>
          <w:sz w:val="24"/>
          <w:szCs w:val="24"/>
        </w:rPr>
        <w:t xml:space="preserve"> Penerbit Ledalero, 2006.</w:t>
      </w:r>
    </w:p>
    <w:p w14:paraId="186E0001" w14:textId="77777777" w:rsidR="0051125D" w:rsidRDefault="0051125D" w:rsidP="0051125D">
      <w:pPr>
        <w:pStyle w:val="FootnoteText"/>
        <w:spacing w:line="360" w:lineRule="auto"/>
        <w:ind w:left="720" w:hanging="720"/>
        <w:rPr>
          <w:sz w:val="24"/>
          <w:szCs w:val="24"/>
        </w:rPr>
      </w:pPr>
      <w:r>
        <w:rPr>
          <w:sz w:val="24"/>
          <w:szCs w:val="24"/>
        </w:rPr>
        <w:t xml:space="preserve">Nuban Timo, Ebenhaizer I. </w:t>
      </w:r>
      <w:r w:rsidRPr="00CC39D7">
        <w:rPr>
          <w:i/>
          <w:iCs/>
          <w:sz w:val="24"/>
          <w:szCs w:val="24"/>
        </w:rPr>
        <w:t>Allah Menahan Diri Tetapi Pantang Berdiam Diri</w:t>
      </w:r>
      <w:r>
        <w:rPr>
          <w:sz w:val="24"/>
          <w:szCs w:val="24"/>
        </w:rPr>
        <w:t xml:space="preserve">. </w:t>
      </w:r>
      <w:proofErr w:type="gramStart"/>
      <w:r>
        <w:rPr>
          <w:sz w:val="24"/>
          <w:szCs w:val="24"/>
        </w:rPr>
        <w:t>Jakarta :</w:t>
      </w:r>
      <w:proofErr w:type="gramEnd"/>
      <w:r>
        <w:rPr>
          <w:sz w:val="24"/>
          <w:szCs w:val="24"/>
        </w:rPr>
        <w:t xml:space="preserve"> BPK. Gunung Mulia, 2015.</w:t>
      </w:r>
    </w:p>
    <w:p w14:paraId="4F02D558" w14:textId="77777777" w:rsidR="0051125D" w:rsidRDefault="0051125D" w:rsidP="0051125D">
      <w:pPr>
        <w:pStyle w:val="FootnoteText"/>
        <w:spacing w:line="360" w:lineRule="auto"/>
        <w:ind w:left="720" w:hanging="720"/>
        <w:rPr>
          <w:sz w:val="24"/>
          <w:szCs w:val="24"/>
        </w:rPr>
      </w:pPr>
      <w:r>
        <w:rPr>
          <w:sz w:val="24"/>
          <w:szCs w:val="24"/>
        </w:rPr>
        <w:t xml:space="preserve">Pradipta, Nemesius. “Belas Kasih allah dalam Kematian Kristiani menurut Karl Rahner”, </w:t>
      </w:r>
      <w:r w:rsidRPr="00B1243E">
        <w:rPr>
          <w:i/>
          <w:iCs/>
          <w:sz w:val="24"/>
          <w:szCs w:val="24"/>
        </w:rPr>
        <w:t>Jurnal Teologi</w:t>
      </w:r>
      <w:r>
        <w:rPr>
          <w:sz w:val="24"/>
          <w:szCs w:val="24"/>
        </w:rPr>
        <w:t>, Vol. 8, No. 1, (2019</w:t>
      </w:r>
      <w:proofErr w:type="gramStart"/>
      <w:r>
        <w:rPr>
          <w:sz w:val="24"/>
          <w:szCs w:val="24"/>
        </w:rPr>
        <w:t>) :</w:t>
      </w:r>
      <w:proofErr w:type="gramEnd"/>
      <w:r>
        <w:rPr>
          <w:sz w:val="24"/>
          <w:szCs w:val="24"/>
        </w:rPr>
        <w:t xml:space="preserve"> 53-54.</w:t>
      </w:r>
    </w:p>
    <w:p w14:paraId="3ABF668A" w14:textId="77777777" w:rsidR="0051125D" w:rsidRDefault="0051125D" w:rsidP="0051125D">
      <w:pPr>
        <w:pStyle w:val="FootnoteText"/>
        <w:spacing w:line="360" w:lineRule="auto"/>
        <w:ind w:left="720" w:hanging="720"/>
        <w:rPr>
          <w:sz w:val="24"/>
          <w:szCs w:val="24"/>
        </w:rPr>
      </w:pPr>
      <w:proofErr w:type="gramStart"/>
      <w:r>
        <w:rPr>
          <w:sz w:val="24"/>
          <w:szCs w:val="24"/>
        </w:rPr>
        <w:t>Putra, Agustinus Widyawan P.</w:t>
      </w:r>
      <w:proofErr w:type="gramEnd"/>
      <w:r>
        <w:rPr>
          <w:sz w:val="24"/>
          <w:szCs w:val="24"/>
        </w:rPr>
        <w:t xml:space="preserve">  “Autentisitas Manusia Menurut Albert Camus”, </w:t>
      </w:r>
      <w:r w:rsidRPr="00574F5E">
        <w:rPr>
          <w:i/>
          <w:iCs/>
          <w:sz w:val="24"/>
          <w:szCs w:val="24"/>
        </w:rPr>
        <w:t>Focus</w:t>
      </w:r>
      <w:r>
        <w:rPr>
          <w:sz w:val="24"/>
          <w:szCs w:val="24"/>
        </w:rPr>
        <w:t>, Vol. 1, No. 1 (2020</w:t>
      </w:r>
      <w:proofErr w:type="gramStart"/>
      <w:r>
        <w:rPr>
          <w:sz w:val="24"/>
          <w:szCs w:val="24"/>
        </w:rPr>
        <w:t>) :</w:t>
      </w:r>
      <w:proofErr w:type="gramEnd"/>
      <w:r>
        <w:rPr>
          <w:sz w:val="24"/>
          <w:szCs w:val="24"/>
        </w:rPr>
        <w:t xml:space="preserve"> 3.</w:t>
      </w:r>
    </w:p>
    <w:p w14:paraId="5BCD803E" w14:textId="77777777" w:rsidR="0051125D" w:rsidRDefault="0051125D" w:rsidP="0051125D">
      <w:pPr>
        <w:pStyle w:val="FootnoteText"/>
        <w:spacing w:line="360" w:lineRule="auto"/>
        <w:ind w:left="720" w:hanging="720"/>
        <w:rPr>
          <w:sz w:val="24"/>
          <w:szCs w:val="24"/>
        </w:rPr>
      </w:pPr>
      <w:r>
        <w:rPr>
          <w:sz w:val="24"/>
          <w:szCs w:val="24"/>
        </w:rPr>
        <w:t xml:space="preserve">Rantesalu, Marsi B. “Penderitaan dari Sudut Pandang Teologi Injili”, </w:t>
      </w:r>
      <w:r w:rsidRPr="00382FFE">
        <w:rPr>
          <w:i/>
          <w:iCs/>
          <w:sz w:val="24"/>
          <w:szCs w:val="24"/>
        </w:rPr>
        <w:t>Jurnal Ilmiah Religiosity Entity Humanity (JIREH),</w:t>
      </w:r>
      <w:r>
        <w:rPr>
          <w:sz w:val="24"/>
          <w:szCs w:val="24"/>
        </w:rPr>
        <w:t xml:space="preserve"> Vol. 2, No. 2, (Desember, 2020) : 130.</w:t>
      </w:r>
    </w:p>
    <w:p w14:paraId="75BDA8A1" w14:textId="77777777" w:rsidR="0051125D" w:rsidRDefault="0051125D" w:rsidP="0051125D">
      <w:pPr>
        <w:pStyle w:val="FootnoteText"/>
        <w:spacing w:line="360" w:lineRule="auto"/>
        <w:ind w:left="720" w:hanging="720"/>
        <w:rPr>
          <w:sz w:val="24"/>
          <w:szCs w:val="24"/>
        </w:rPr>
      </w:pPr>
      <w:r>
        <w:rPr>
          <w:sz w:val="24"/>
          <w:szCs w:val="24"/>
        </w:rPr>
        <w:t xml:space="preserve">Snijders, Adelbert. </w:t>
      </w:r>
      <w:r w:rsidRPr="009F29B8">
        <w:rPr>
          <w:i/>
          <w:iCs/>
          <w:sz w:val="24"/>
          <w:szCs w:val="24"/>
        </w:rPr>
        <w:t>Antropologi Filsafat Manusia</w:t>
      </w:r>
      <w:r>
        <w:rPr>
          <w:sz w:val="24"/>
          <w:szCs w:val="24"/>
        </w:rPr>
        <w:t xml:space="preserve">. </w:t>
      </w:r>
      <w:proofErr w:type="gramStart"/>
      <w:r>
        <w:rPr>
          <w:sz w:val="24"/>
          <w:szCs w:val="24"/>
        </w:rPr>
        <w:t>Yogyakarta :</w:t>
      </w:r>
      <w:proofErr w:type="gramEnd"/>
      <w:r>
        <w:rPr>
          <w:sz w:val="24"/>
          <w:szCs w:val="24"/>
        </w:rPr>
        <w:t xml:space="preserve"> Kanisius, 2004.</w:t>
      </w:r>
    </w:p>
    <w:p w14:paraId="07FB2E17" w14:textId="77777777" w:rsidR="0051125D" w:rsidRDefault="0051125D" w:rsidP="0051125D">
      <w:pPr>
        <w:pStyle w:val="FootnoteText"/>
        <w:spacing w:line="360" w:lineRule="auto"/>
        <w:ind w:left="720" w:hanging="720"/>
        <w:rPr>
          <w:sz w:val="24"/>
          <w:szCs w:val="24"/>
        </w:rPr>
      </w:pPr>
      <w:r>
        <w:rPr>
          <w:sz w:val="24"/>
          <w:szCs w:val="24"/>
        </w:rPr>
        <w:t xml:space="preserve">Soedarmo, R. </w:t>
      </w:r>
      <w:r w:rsidRPr="006849D2">
        <w:rPr>
          <w:i/>
          <w:iCs/>
          <w:sz w:val="24"/>
          <w:szCs w:val="24"/>
        </w:rPr>
        <w:t>Ikhtisar Dogmatika</w:t>
      </w:r>
      <w:r>
        <w:rPr>
          <w:sz w:val="24"/>
          <w:szCs w:val="24"/>
        </w:rPr>
        <w:t xml:space="preserve">. </w:t>
      </w:r>
      <w:proofErr w:type="gramStart"/>
      <w:r>
        <w:rPr>
          <w:sz w:val="24"/>
          <w:szCs w:val="24"/>
        </w:rPr>
        <w:t>Jakarta :</w:t>
      </w:r>
      <w:proofErr w:type="gramEnd"/>
      <w:r>
        <w:rPr>
          <w:sz w:val="24"/>
          <w:szCs w:val="24"/>
        </w:rPr>
        <w:t xml:space="preserve"> BPK. Gunung Mulia, 2015.</w:t>
      </w:r>
    </w:p>
    <w:p w14:paraId="4A23D6BC" w14:textId="77777777" w:rsidR="0051125D" w:rsidRDefault="0051125D" w:rsidP="0051125D">
      <w:pPr>
        <w:pStyle w:val="FootnoteText"/>
        <w:spacing w:line="360" w:lineRule="auto"/>
        <w:rPr>
          <w:sz w:val="24"/>
          <w:szCs w:val="24"/>
        </w:rPr>
      </w:pPr>
      <w:r>
        <w:rPr>
          <w:sz w:val="24"/>
          <w:szCs w:val="24"/>
        </w:rPr>
        <w:t xml:space="preserve">Suseno, F. Magnis. </w:t>
      </w:r>
      <w:r w:rsidRPr="00E42536">
        <w:rPr>
          <w:i/>
          <w:iCs/>
          <w:sz w:val="24"/>
          <w:szCs w:val="24"/>
        </w:rPr>
        <w:t>Menalar Tuhan</w:t>
      </w:r>
      <w:r>
        <w:rPr>
          <w:sz w:val="24"/>
          <w:szCs w:val="24"/>
        </w:rPr>
        <w:t xml:space="preserve">. </w:t>
      </w:r>
      <w:proofErr w:type="gramStart"/>
      <w:r>
        <w:rPr>
          <w:sz w:val="24"/>
          <w:szCs w:val="24"/>
        </w:rPr>
        <w:t>Yogyakarta :</w:t>
      </w:r>
      <w:proofErr w:type="gramEnd"/>
      <w:r>
        <w:rPr>
          <w:sz w:val="24"/>
          <w:szCs w:val="24"/>
        </w:rPr>
        <w:t xml:space="preserve"> Kanisius, 2006.</w:t>
      </w:r>
    </w:p>
    <w:p w14:paraId="5BF1D4D8" w14:textId="77777777" w:rsidR="0051125D" w:rsidRDefault="0051125D" w:rsidP="0051125D">
      <w:pPr>
        <w:pStyle w:val="FootnoteText"/>
        <w:spacing w:line="360" w:lineRule="auto"/>
        <w:ind w:left="720" w:hanging="720"/>
        <w:rPr>
          <w:sz w:val="24"/>
          <w:szCs w:val="24"/>
        </w:rPr>
      </w:pPr>
      <w:r>
        <w:rPr>
          <w:sz w:val="24"/>
          <w:szCs w:val="24"/>
        </w:rPr>
        <w:t xml:space="preserve">Sudianto Manullang, “Providensi Allah di Balik Penderitaan dalam Pengalaman Ayub”, </w:t>
      </w:r>
      <w:proofErr w:type="gramStart"/>
      <w:r w:rsidRPr="00E42536">
        <w:rPr>
          <w:i/>
          <w:iCs/>
          <w:sz w:val="24"/>
          <w:szCs w:val="24"/>
        </w:rPr>
        <w:t>STULOS</w:t>
      </w:r>
      <w:r>
        <w:rPr>
          <w:sz w:val="24"/>
          <w:szCs w:val="24"/>
        </w:rPr>
        <w:t xml:space="preserve"> ,</w:t>
      </w:r>
      <w:proofErr w:type="gramEnd"/>
      <w:r>
        <w:rPr>
          <w:sz w:val="24"/>
          <w:szCs w:val="24"/>
        </w:rPr>
        <w:t xml:space="preserve"> Vol. 18, No. 2 (Juli, 2020) : 164.</w:t>
      </w:r>
    </w:p>
    <w:p w14:paraId="677F478C" w14:textId="77777777" w:rsidR="0051125D" w:rsidRDefault="0051125D" w:rsidP="0051125D">
      <w:pPr>
        <w:pStyle w:val="FootnoteText"/>
        <w:spacing w:line="360" w:lineRule="auto"/>
        <w:ind w:left="720" w:hanging="720"/>
        <w:rPr>
          <w:sz w:val="24"/>
          <w:szCs w:val="24"/>
        </w:rPr>
      </w:pPr>
      <w:r>
        <w:rPr>
          <w:sz w:val="24"/>
          <w:szCs w:val="24"/>
        </w:rPr>
        <w:t xml:space="preserve">Syukur, Nico. </w:t>
      </w:r>
      <w:r w:rsidRPr="001C5EB3">
        <w:rPr>
          <w:i/>
          <w:iCs/>
          <w:sz w:val="24"/>
          <w:szCs w:val="24"/>
        </w:rPr>
        <w:t>Teologi Sistematika 2</w:t>
      </w:r>
      <w:r>
        <w:rPr>
          <w:sz w:val="24"/>
          <w:szCs w:val="24"/>
        </w:rPr>
        <w:t xml:space="preserve">. </w:t>
      </w:r>
      <w:proofErr w:type="gramStart"/>
      <w:r>
        <w:rPr>
          <w:sz w:val="24"/>
          <w:szCs w:val="24"/>
        </w:rPr>
        <w:t>Yogyakarta :</w:t>
      </w:r>
      <w:proofErr w:type="gramEnd"/>
      <w:r>
        <w:rPr>
          <w:sz w:val="24"/>
          <w:szCs w:val="24"/>
        </w:rPr>
        <w:t xml:space="preserve"> Kanisius, 2004.</w:t>
      </w:r>
    </w:p>
    <w:p w14:paraId="18E8A0FA" w14:textId="77777777" w:rsidR="0051125D" w:rsidRDefault="0051125D" w:rsidP="0051125D">
      <w:pPr>
        <w:pStyle w:val="FootnoteText"/>
        <w:spacing w:line="360" w:lineRule="auto"/>
        <w:rPr>
          <w:sz w:val="24"/>
          <w:szCs w:val="24"/>
        </w:rPr>
      </w:pPr>
      <w:r>
        <w:rPr>
          <w:sz w:val="24"/>
          <w:szCs w:val="24"/>
        </w:rPr>
        <w:t xml:space="preserve">Thiessen, Henry C. </w:t>
      </w:r>
      <w:r w:rsidRPr="0043206D">
        <w:rPr>
          <w:i/>
          <w:iCs/>
          <w:sz w:val="24"/>
          <w:szCs w:val="24"/>
        </w:rPr>
        <w:t>Teologi Sistematika</w:t>
      </w:r>
      <w:r>
        <w:rPr>
          <w:i/>
          <w:iCs/>
          <w:sz w:val="24"/>
          <w:szCs w:val="24"/>
        </w:rPr>
        <w:t xml:space="preserve">. </w:t>
      </w:r>
      <w:proofErr w:type="gramStart"/>
      <w:r>
        <w:rPr>
          <w:sz w:val="24"/>
          <w:szCs w:val="24"/>
        </w:rPr>
        <w:t>Malang :</w:t>
      </w:r>
      <w:proofErr w:type="gramEnd"/>
      <w:r>
        <w:rPr>
          <w:sz w:val="24"/>
          <w:szCs w:val="24"/>
        </w:rPr>
        <w:t xml:space="preserve"> Gandum Mas, 1992.</w:t>
      </w:r>
    </w:p>
    <w:p w14:paraId="2F744581" w14:textId="77777777" w:rsidR="0051125D" w:rsidRDefault="0051125D" w:rsidP="0051125D">
      <w:pPr>
        <w:pStyle w:val="FootnoteText"/>
        <w:spacing w:line="360" w:lineRule="auto"/>
        <w:ind w:left="720" w:hanging="720"/>
        <w:rPr>
          <w:sz w:val="24"/>
          <w:szCs w:val="24"/>
        </w:rPr>
      </w:pPr>
      <w:r>
        <w:rPr>
          <w:sz w:val="24"/>
          <w:szCs w:val="24"/>
        </w:rPr>
        <w:t xml:space="preserve">Widianing, Oda Judithia. “Pancasila sebagai Providensia Allah bagi Kekristenan di Indonesia”, </w:t>
      </w:r>
      <w:r w:rsidRPr="00260683">
        <w:rPr>
          <w:i/>
          <w:iCs/>
          <w:sz w:val="24"/>
          <w:szCs w:val="24"/>
        </w:rPr>
        <w:t>Jurnal Teologi Berita Hidup</w:t>
      </w:r>
      <w:r>
        <w:rPr>
          <w:sz w:val="24"/>
          <w:szCs w:val="24"/>
        </w:rPr>
        <w:t>, Vol 4, No 2, (Maret, 2022</w:t>
      </w:r>
      <w:proofErr w:type="gramStart"/>
      <w:r>
        <w:rPr>
          <w:sz w:val="24"/>
          <w:szCs w:val="24"/>
        </w:rPr>
        <w:t>) :</w:t>
      </w:r>
      <w:proofErr w:type="gramEnd"/>
      <w:r>
        <w:rPr>
          <w:sz w:val="24"/>
          <w:szCs w:val="24"/>
        </w:rPr>
        <w:t xml:space="preserve"> 485-495.</w:t>
      </w:r>
    </w:p>
    <w:p w14:paraId="1A9B1F90" w14:textId="77777777" w:rsidR="0051125D" w:rsidRDefault="0051125D" w:rsidP="0051125D">
      <w:pPr>
        <w:pStyle w:val="FootnoteText"/>
        <w:spacing w:line="360" w:lineRule="auto"/>
        <w:ind w:left="720" w:hanging="720"/>
        <w:rPr>
          <w:sz w:val="24"/>
          <w:szCs w:val="24"/>
        </w:rPr>
      </w:pPr>
      <w:proofErr w:type="gramStart"/>
      <w:r>
        <w:rPr>
          <w:sz w:val="24"/>
          <w:szCs w:val="24"/>
        </w:rPr>
        <w:lastRenderedPageBreak/>
        <w:t>van</w:t>
      </w:r>
      <w:proofErr w:type="gramEnd"/>
      <w:r>
        <w:rPr>
          <w:sz w:val="24"/>
          <w:szCs w:val="24"/>
        </w:rPr>
        <w:t xml:space="preserve"> Niftrik, G. C.  &amp; B. J. Boland, </w:t>
      </w:r>
      <w:r w:rsidRPr="001E5F80">
        <w:rPr>
          <w:i/>
          <w:sz w:val="24"/>
          <w:szCs w:val="24"/>
        </w:rPr>
        <w:t>Dogmatika Masa Kini</w:t>
      </w:r>
      <w:r>
        <w:rPr>
          <w:sz w:val="24"/>
          <w:szCs w:val="24"/>
        </w:rPr>
        <w:t xml:space="preserve">. </w:t>
      </w:r>
      <w:proofErr w:type="gramStart"/>
      <w:r>
        <w:rPr>
          <w:sz w:val="24"/>
          <w:szCs w:val="24"/>
        </w:rPr>
        <w:t>Jakarta :</w:t>
      </w:r>
      <w:proofErr w:type="gramEnd"/>
      <w:r>
        <w:rPr>
          <w:sz w:val="24"/>
          <w:szCs w:val="24"/>
        </w:rPr>
        <w:t xml:space="preserve"> BPK. Gunung Mulia, 2017.</w:t>
      </w:r>
    </w:p>
    <w:p w14:paraId="4C16858B" w14:textId="77777777" w:rsidR="0051125D" w:rsidRDefault="0051125D" w:rsidP="0051125D">
      <w:pPr>
        <w:pStyle w:val="FootnoteText"/>
        <w:spacing w:line="360" w:lineRule="auto"/>
        <w:ind w:left="720" w:hanging="720"/>
        <w:rPr>
          <w:sz w:val="24"/>
          <w:szCs w:val="24"/>
        </w:rPr>
      </w:pPr>
    </w:p>
    <w:p w14:paraId="170E021C" w14:textId="77777777" w:rsidR="0051125D" w:rsidRDefault="0051125D" w:rsidP="0051125D">
      <w:pPr>
        <w:pStyle w:val="FootnoteText"/>
        <w:spacing w:line="360" w:lineRule="auto"/>
        <w:rPr>
          <w:sz w:val="24"/>
          <w:szCs w:val="24"/>
        </w:rPr>
      </w:pPr>
    </w:p>
    <w:p w14:paraId="0F73B322" w14:textId="77777777" w:rsidR="0051125D" w:rsidRDefault="0051125D" w:rsidP="0051125D">
      <w:pPr>
        <w:pStyle w:val="FootnoteText"/>
        <w:spacing w:line="360" w:lineRule="auto"/>
        <w:ind w:left="720" w:hanging="720"/>
        <w:rPr>
          <w:sz w:val="24"/>
          <w:szCs w:val="24"/>
        </w:rPr>
      </w:pPr>
    </w:p>
    <w:p w14:paraId="64ABD35A" w14:textId="77777777" w:rsidR="0051125D" w:rsidRPr="00ED4252" w:rsidRDefault="0051125D" w:rsidP="0051125D">
      <w:pPr>
        <w:spacing w:line="360" w:lineRule="auto"/>
        <w:ind w:left="720" w:hanging="720"/>
      </w:pPr>
    </w:p>
    <w:p w14:paraId="790E634C" w14:textId="77777777" w:rsidR="0051125D" w:rsidRDefault="0051125D" w:rsidP="004352EA">
      <w:pPr>
        <w:pStyle w:val="Wawasan24BodyArticle"/>
        <w:spacing w:line="360" w:lineRule="auto"/>
        <w:ind w:firstLine="567"/>
        <w:rPr>
          <w:color w:val="000000" w:themeColor="text1"/>
        </w:rPr>
      </w:pPr>
    </w:p>
    <w:p w14:paraId="5977F02B" w14:textId="694590E3" w:rsidR="00B20C7F" w:rsidRPr="00565656" w:rsidRDefault="00B20C7F">
      <w:pPr>
        <w:rPr>
          <w:color w:val="000000" w:themeColor="text1"/>
          <w:lang w:val="en-US"/>
        </w:rPr>
      </w:pPr>
      <w:bookmarkStart w:id="0" w:name="_GoBack"/>
      <w:bookmarkEnd w:id="0"/>
    </w:p>
    <w:sectPr w:rsidR="00B20C7F" w:rsidRPr="00565656" w:rsidSect="00E6066D">
      <w:headerReference w:type="even" r:id="rId11"/>
      <w:headerReference w:type="default" r:id="rId12"/>
      <w:footerReference w:type="even" r:id="rId13"/>
      <w:footerReference w:type="default" r:id="rId14"/>
      <w:footerReference w:type="first" r:id="rId15"/>
      <w:pgSz w:w="11900" w:h="16840"/>
      <w:pgMar w:top="1701" w:right="1440" w:bottom="1440" w:left="1701" w:header="510" w:footer="397" w:gutter="0"/>
      <w:pgNumType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DF6AC" w14:textId="77777777" w:rsidR="00613E36" w:rsidRDefault="00613E36" w:rsidP="00A73374">
      <w:pPr>
        <w:spacing w:before="0" w:after="0" w:line="240" w:lineRule="auto"/>
      </w:pPr>
      <w:r>
        <w:separator/>
      </w:r>
    </w:p>
  </w:endnote>
  <w:endnote w:type="continuationSeparator" w:id="0">
    <w:p w14:paraId="4BDE9343" w14:textId="77777777" w:rsidR="00613E36" w:rsidRDefault="00613E36" w:rsidP="00A733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auto"/>
    <w:notTrueType/>
    <w:pitch w:val="variable"/>
    <w:sig w:usb0="A00002BF" w:usb1="38CF7CFA" w:usb2="00000016" w:usb3="00000000" w:csb0="0004000F" w:csb1="00000000"/>
  </w:font>
  <w:font w:name="Times New Arabic">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BDE20" w14:textId="079BE382" w:rsidR="00B20C7F" w:rsidRPr="002E256E" w:rsidRDefault="00B20C7F" w:rsidP="002E256E">
    <w:pPr>
      <w:pStyle w:val="Footer"/>
      <w:spacing w:beforeAutospacing="0" w:line="360" w:lineRule="auto"/>
      <w:ind w:right="284" w:firstLine="0"/>
      <w:rPr>
        <w:rFonts w:ascii="Baskerville Old Face" w:hAnsi="Baskerville Old Face"/>
        <w:b/>
        <w:bCs/>
        <w:sz w:val="22"/>
        <w:szCs w:val="22"/>
      </w:rPr>
    </w:pPr>
  </w:p>
  <w:p w14:paraId="4F10DEC3" w14:textId="77777777" w:rsidR="002E256E" w:rsidRDefault="002E256E" w:rsidP="00B20C7F">
    <w:pPr>
      <w:pStyle w:val="Footer"/>
      <w:ind w:right="360"/>
    </w:pPr>
  </w:p>
  <w:p w14:paraId="3895AECC" w14:textId="77777777" w:rsidR="0006575F" w:rsidRDefault="0006575F"/>
  <w:p w14:paraId="316E903A" w14:textId="77777777" w:rsidR="0006575F" w:rsidRDefault="000657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3710" w14:textId="575BB285" w:rsidR="00B20C7F" w:rsidRDefault="00B20C7F" w:rsidP="00162C04">
    <w:pPr>
      <w:pStyle w:val="Footer"/>
      <w:framePr w:wrap="none" w:vAnchor="text" w:hAnchor="margin" w:xAlign="inside" w:y="1"/>
      <w:spacing w:before="120" w:beforeAutospacing="0"/>
      <w:ind w:right="62" w:firstLine="561"/>
      <w:rPr>
        <w:rStyle w:val="PageNumber"/>
      </w:rPr>
    </w:pPr>
  </w:p>
  <w:tbl>
    <w:tblPr>
      <w:tblW w:w="2589" w:type="pct"/>
      <w:tblCellMar>
        <w:left w:w="0" w:type="dxa"/>
        <w:right w:w="0" w:type="dxa"/>
      </w:tblCellMar>
      <w:tblLook w:val="04A0" w:firstRow="1" w:lastRow="0" w:firstColumn="1" w:lastColumn="0" w:noHBand="0" w:noVBand="1"/>
    </w:tblPr>
    <w:tblGrid>
      <w:gridCol w:w="4459"/>
      <w:gridCol w:w="76"/>
    </w:tblGrid>
    <w:tr w:rsidR="008C2144" w:rsidRPr="00D43C8D" w14:paraId="29111D9A" w14:textId="77777777" w:rsidTr="008C2144">
      <w:trPr>
        <w:trHeight w:val="697"/>
      </w:trPr>
      <w:tc>
        <w:tcPr>
          <w:tcW w:w="4916" w:type="pct"/>
        </w:tcPr>
        <w:p w14:paraId="70644790" w14:textId="3D755BF2" w:rsidR="008C2144" w:rsidRPr="00D43C8D" w:rsidRDefault="008C2144" w:rsidP="00162C04">
          <w:pPr>
            <w:pStyle w:val="Footer"/>
            <w:tabs>
              <w:tab w:val="clear" w:pos="4680"/>
              <w:tab w:val="clear" w:pos="9360"/>
            </w:tabs>
            <w:spacing w:before="120" w:beforeAutospacing="0"/>
            <w:ind w:right="360" w:firstLine="360"/>
            <w:rPr>
              <w:rFonts w:ascii="Baskerville Old Face" w:hAnsi="Baskerville Old Face"/>
              <w:caps/>
              <w:color w:val="4472C4" w:themeColor="accent1"/>
              <w:sz w:val="22"/>
              <w:szCs w:val="22"/>
            </w:rPr>
          </w:pPr>
        </w:p>
      </w:tc>
      <w:tc>
        <w:tcPr>
          <w:tcW w:w="84" w:type="pct"/>
        </w:tcPr>
        <w:p w14:paraId="521A43DE" w14:textId="77777777" w:rsidR="008C2144" w:rsidRPr="00D43C8D" w:rsidRDefault="008C2144" w:rsidP="00162C04">
          <w:pPr>
            <w:pStyle w:val="Footer"/>
            <w:tabs>
              <w:tab w:val="clear" w:pos="4680"/>
              <w:tab w:val="clear" w:pos="9360"/>
            </w:tabs>
            <w:spacing w:before="120" w:beforeAutospacing="0"/>
            <w:rPr>
              <w:rFonts w:ascii="Baskerville Old Face" w:hAnsi="Baskerville Old Face"/>
              <w:caps/>
              <w:color w:val="4472C4" w:themeColor="accent1"/>
              <w:sz w:val="22"/>
              <w:szCs w:val="22"/>
            </w:rPr>
          </w:pPr>
        </w:p>
      </w:tc>
    </w:tr>
  </w:tbl>
  <w:p w14:paraId="43DB96FA" w14:textId="2E46E24C" w:rsidR="00565AEF" w:rsidRDefault="00565AEF" w:rsidP="00162C04">
    <w:pPr>
      <w:pStyle w:val="Footer"/>
      <w:spacing w:before="120" w:beforeAutospacing="0"/>
      <w:ind w:firstLine="0"/>
    </w:pPr>
  </w:p>
  <w:p w14:paraId="56DC4A2D" w14:textId="77777777" w:rsidR="0006575F" w:rsidRDefault="0006575F"/>
  <w:p w14:paraId="3567534B" w14:textId="77777777" w:rsidR="0006575F" w:rsidRDefault="000657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28CE5" w14:textId="64983D1B" w:rsidR="007868EA" w:rsidRDefault="007868EA" w:rsidP="00162C04">
    <w:pPr>
      <w:pStyle w:val="Footer"/>
      <w:framePr w:wrap="none" w:vAnchor="text" w:hAnchor="margin" w:xAlign="outside" w:y="1"/>
      <w:rPr>
        <w:rStyle w:val="PageNumber"/>
      </w:rPr>
    </w:pPr>
  </w:p>
  <w:p w14:paraId="28D93016" w14:textId="77777777" w:rsidR="00D43C8D" w:rsidRDefault="00D43C8D" w:rsidP="007868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82A35" w14:textId="77777777" w:rsidR="00613E36" w:rsidRDefault="00613E36" w:rsidP="00A73374">
      <w:pPr>
        <w:spacing w:before="0" w:after="0" w:line="240" w:lineRule="auto"/>
      </w:pPr>
      <w:r>
        <w:separator/>
      </w:r>
    </w:p>
  </w:footnote>
  <w:footnote w:type="continuationSeparator" w:id="0">
    <w:p w14:paraId="701E9471" w14:textId="77777777" w:rsidR="00613E36" w:rsidRDefault="00613E36" w:rsidP="00A73374">
      <w:pPr>
        <w:spacing w:before="0" w:after="0" w:line="240" w:lineRule="auto"/>
      </w:pPr>
      <w:r>
        <w:continuationSeparator/>
      </w:r>
    </w:p>
  </w:footnote>
  <w:footnote w:id="1">
    <w:p w14:paraId="2ED7FFC9" w14:textId="77777777" w:rsidR="0051125D" w:rsidRPr="00C461C9" w:rsidRDefault="0051125D" w:rsidP="0051125D">
      <w:pPr>
        <w:pStyle w:val="FootnoteText"/>
        <w:ind w:firstLine="720"/>
      </w:pPr>
      <w:r w:rsidRPr="00C461C9">
        <w:rPr>
          <w:rStyle w:val="FootnoteReference"/>
        </w:rPr>
        <w:footnoteRef/>
      </w:r>
      <w:r w:rsidRPr="00C461C9">
        <w:t xml:space="preserve"> F. Magnis Suseno, </w:t>
      </w:r>
      <w:r w:rsidRPr="00C461C9">
        <w:rPr>
          <w:i/>
          <w:iCs/>
        </w:rPr>
        <w:t>Menalar Tuhan, (</w:t>
      </w:r>
      <w:r w:rsidRPr="00C461C9">
        <w:t>Yogyakarta : Kanisius, 2006), 17</w:t>
      </w:r>
    </w:p>
  </w:footnote>
  <w:footnote w:id="2">
    <w:p w14:paraId="2F7C7E90" w14:textId="77777777" w:rsidR="0051125D" w:rsidRPr="00C461C9" w:rsidRDefault="0051125D" w:rsidP="0051125D">
      <w:pPr>
        <w:pStyle w:val="FootnoteText"/>
        <w:ind w:firstLine="720"/>
      </w:pPr>
      <w:r w:rsidRPr="00C461C9">
        <w:rPr>
          <w:rStyle w:val="FootnoteReference"/>
        </w:rPr>
        <w:footnoteRef/>
      </w:r>
      <w:r w:rsidRPr="00C461C9">
        <w:t xml:space="preserve"> Adelbert Snijders, </w:t>
      </w:r>
      <w:r w:rsidRPr="00C461C9">
        <w:rPr>
          <w:i/>
          <w:iCs/>
        </w:rPr>
        <w:t xml:space="preserve">Antropologi Filsafat Manusia, </w:t>
      </w:r>
      <w:r w:rsidRPr="00C461C9">
        <w:t>(Yogyakarta : Kanisius, 2004), 194</w:t>
      </w:r>
    </w:p>
  </w:footnote>
  <w:footnote w:id="3">
    <w:p w14:paraId="56102B29" w14:textId="77777777" w:rsidR="0051125D" w:rsidRPr="00C461C9" w:rsidRDefault="0051125D" w:rsidP="0051125D">
      <w:pPr>
        <w:pStyle w:val="FootnoteText"/>
        <w:ind w:firstLine="720"/>
      </w:pPr>
      <w:r w:rsidRPr="00C461C9">
        <w:rPr>
          <w:rStyle w:val="FootnoteReference"/>
        </w:rPr>
        <w:footnoteRef/>
      </w:r>
      <w:r w:rsidRPr="00C461C9">
        <w:t xml:space="preserve"> Sudianto Manullang, “Providensi Allah di Balik Penderitaan dalam Pengalaman Ayub”, </w:t>
      </w:r>
      <w:proofErr w:type="gramStart"/>
      <w:r w:rsidRPr="00C461C9">
        <w:rPr>
          <w:i/>
          <w:iCs/>
        </w:rPr>
        <w:t>STULOS</w:t>
      </w:r>
      <w:r w:rsidRPr="00C461C9">
        <w:t xml:space="preserve"> ,</w:t>
      </w:r>
      <w:proofErr w:type="gramEnd"/>
      <w:r w:rsidRPr="00C461C9">
        <w:t xml:space="preserve"> Vol. 18, No. 2 (Juli, 2020) : 164.</w:t>
      </w:r>
    </w:p>
  </w:footnote>
  <w:footnote w:id="4">
    <w:p w14:paraId="45549D5C" w14:textId="77777777" w:rsidR="0051125D" w:rsidRPr="00C461C9" w:rsidRDefault="0051125D" w:rsidP="0051125D">
      <w:pPr>
        <w:pStyle w:val="FootnoteText"/>
        <w:ind w:firstLine="720"/>
      </w:pPr>
      <w:r w:rsidRPr="00C461C9">
        <w:rPr>
          <w:rStyle w:val="FootnoteReference"/>
        </w:rPr>
        <w:footnoteRef/>
      </w:r>
      <w:r w:rsidRPr="00C461C9">
        <w:t xml:space="preserve"> Jusuf H. Kelelufna, “Allah Segala Maha di Tengah Fenomena Kekerasan dan Penderitaan Orang Saleh”, </w:t>
      </w:r>
      <w:r w:rsidRPr="00C461C9">
        <w:rPr>
          <w:i/>
          <w:iCs/>
        </w:rPr>
        <w:t>KENOSIS</w:t>
      </w:r>
      <w:r w:rsidRPr="00C461C9">
        <w:t>, Vol. 3 No. 2. (Desember, 2017</w:t>
      </w:r>
      <w:proofErr w:type="gramStart"/>
      <w:r w:rsidRPr="00C461C9">
        <w:t>) :</w:t>
      </w:r>
      <w:proofErr w:type="gramEnd"/>
      <w:r w:rsidRPr="00C461C9">
        <w:t xml:space="preserve"> 122.</w:t>
      </w:r>
    </w:p>
  </w:footnote>
  <w:footnote w:id="5">
    <w:p w14:paraId="5A25A79D" w14:textId="77777777" w:rsidR="0051125D" w:rsidRPr="00C461C9" w:rsidRDefault="0051125D" w:rsidP="0051125D">
      <w:pPr>
        <w:pStyle w:val="FootnoteText"/>
        <w:ind w:firstLine="720"/>
      </w:pPr>
      <w:r w:rsidRPr="00C461C9">
        <w:rPr>
          <w:rStyle w:val="FootnoteReference"/>
        </w:rPr>
        <w:footnoteRef/>
      </w:r>
      <w:r w:rsidRPr="00C461C9">
        <w:t xml:space="preserve"> Oda Judithia Widianing, “Pancasila sebagai Providensia Allah bagi Kekristenan di Indonesia”, </w:t>
      </w:r>
      <w:r w:rsidRPr="00C461C9">
        <w:rPr>
          <w:i/>
          <w:iCs/>
        </w:rPr>
        <w:t>Jurnal Teologi Berita Hidup</w:t>
      </w:r>
      <w:r w:rsidRPr="00C461C9">
        <w:t>, Vol 4, No 2, (Maret, 2022) : 485-495.</w:t>
      </w:r>
    </w:p>
  </w:footnote>
  <w:footnote w:id="6">
    <w:p w14:paraId="719C2007" w14:textId="77777777" w:rsidR="0051125D" w:rsidRPr="00C461C9" w:rsidRDefault="0051125D" w:rsidP="0051125D">
      <w:pPr>
        <w:pStyle w:val="FootnoteText"/>
        <w:ind w:firstLine="720"/>
      </w:pPr>
      <w:r w:rsidRPr="00C461C9">
        <w:rPr>
          <w:rStyle w:val="FootnoteReference"/>
        </w:rPr>
        <w:footnoteRef/>
      </w:r>
      <w:r w:rsidRPr="00C461C9">
        <w:t xml:space="preserve"> Paul B. Kleden, </w:t>
      </w:r>
      <w:r w:rsidRPr="00C461C9">
        <w:rPr>
          <w:i/>
          <w:iCs/>
        </w:rPr>
        <w:t xml:space="preserve">Membongkar Derita, </w:t>
      </w:r>
      <w:r w:rsidRPr="00C461C9">
        <w:t>(Maumere : Penerbit Ledalero, 2006), 17</w:t>
      </w:r>
    </w:p>
  </w:footnote>
  <w:footnote w:id="7">
    <w:p w14:paraId="0D859F43" w14:textId="77777777" w:rsidR="0051125D" w:rsidRPr="00C461C9" w:rsidRDefault="0051125D" w:rsidP="0051125D">
      <w:pPr>
        <w:pStyle w:val="FootnoteText"/>
        <w:ind w:firstLine="720"/>
      </w:pPr>
      <w:r w:rsidRPr="00C461C9">
        <w:rPr>
          <w:rStyle w:val="FootnoteReference"/>
        </w:rPr>
        <w:footnoteRef/>
      </w:r>
      <w:r w:rsidRPr="00C461C9">
        <w:t xml:space="preserve"> Kleden, </w:t>
      </w:r>
      <w:r w:rsidRPr="00C461C9">
        <w:rPr>
          <w:i/>
          <w:iCs/>
        </w:rPr>
        <w:t xml:space="preserve">ibid, </w:t>
      </w:r>
      <w:r w:rsidRPr="00C461C9">
        <w:t>19-20</w:t>
      </w:r>
    </w:p>
  </w:footnote>
  <w:footnote w:id="8">
    <w:p w14:paraId="5A3B8469" w14:textId="77777777" w:rsidR="0051125D" w:rsidRPr="00C461C9" w:rsidRDefault="0051125D" w:rsidP="0051125D">
      <w:pPr>
        <w:pStyle w:val="FootnoteText"/>
        <w:ind w:firstLine="720"/>
      </w:pPr>
      <w:r w:rsidRPr="00C461C9">
        <w:rPr>
          <w:rStyle w:val="FootnoteReference"/>
        </w:rPr>
        <w:footnoteRef/>
      </w:r>
      <w:r w:rsidRPr="00C461C9">
        <w:t xml:space="preserve"> Ebenhaizer I. Nuban Timo, </w:t>
      </w:r>
      <w:r w:rsidRPr="00C461C9">
        <w:rPr>
          <w:i/>
          <w:iCs/>
        </w:rPr>
        <w:t>Allah Menahan Diri Tetapi Pantang Berdiam Diri</w:t>
      </w:r>
      <w:r w:rsidRPr="00C461C9">
        <w:t>, (</w:t>
      </w:r>
      <w:proofErr w:type="gramStart"/>
      <w:r w:rsidRPr="00C461C9">
        <w:t>Jakarta :</w:t>
      </w:r>
      <w:proofErr w:type="gramEnd"/>
      <w:r w:rsidRPr="00C461C9">
        <w:t xml:space="preserve"> BPK. Gunung Mulia, 2015), 224-225</w:t>
      </w:r>
    </w:p>
  </w:footnote>
  <w:footnote w:id="9">
    <w:p w14:paraId="38539D64" w14:textId="77777777" w:rsidR="0051125D" w:rsidRPr="00C461C9" w:rsidRDefault="0051125D" w:rsidP="0051125D">
      <w:pPr>
        <w:pStyle w:val="FootnoteText"/>
        <w:ind w:firstLine="720"/>
      </w:pPr>
      <w:r w:rsidRPr="00C461C9">
        <w:rPr>
          <w:rStyle w:val="FootnoteReference"/>
        </w:rPr>
        <w:footnoteRef/>
      </w:r>
      <w:r w:rsidRPr="00C461C9">
        <w:t xml:space="preserve"> R. Soedarmo, </w:t>
      </w:r>
      <w:r w:rsidRPr="00C461C9">
        <w:rPr>
          <w:i/>
          <w:iCs/>
        </w:rPr>
        <w:t xml:space="preserve">Ikhtisar Dogmatika, </w:t>
      </w:r>
      <w:r w:rsidRPr="00C461C9">
        <w:t>(</w:t>
      </w:r>
      <w:proofErr w:type="gramStart"/>
      <w:r w:rsidRPr="00C461C9">
        <w:t>Jakarta :</w:t>
      </w:r>
      <w:proofErr w:type="gramEnd"/>
      <w:r w:rsidRPr="00C461C9">
        <w:t xml:space="preserve"> BPK. Gunung Mulia, 2015), 248-249</w:t>
      </w:r>
    </w:p>
  </w:footnote>
  <w:footnote w:id="10">
    <w:p w14:paraId="7AC9D8B8" w14:textId="77777777" w:rsidR="0051125D" w:rsidRPr="00C461C9" w:rsidRDefault="0051125D" w:rsidP="0051125D">
      <w:pPr>
        <w:pStyle w:val="FootnoteText"/>
        <w:ind w:firstLine="720"/>
      </w:pPr>
      <w:r w:rsidRPr="00C461C9">
        <w:rPr>
          <w:rStyle w:val="FootnoteReference"/>
        </w:rPr>
        <w:footnoteRef/>
      </w:r>
      <w:r w:rsidRPr="00C461C9">
        <w:t xml:space="preserve"> Nico Syukur,</w:t>
      </w:r>
      <w:r w:rsidRPr="00C461C9">
        <w:rPr>
          <w:i/>
          <w:iCs/>
        </w:rPr>
        <w:t xml:space="preserve"> Teologi Sistematika 2</w:t>
      </w:r>
      <w:r w:rsidRPr="00C461C9">
        <w:t>, (Yogyakarta : Kanisius, 2004), 572-773</w:t>
      </w:r>
    </w:p>
  </w:footnote>
  <w:footnote w:id="11">
    <w:p w14:paraId="2C8C116B" w14:textId="77777777" w:rsidR="0051125D" w:rsidRPr="00C461C9" w:rsidRDefault="0051125D" w:rsidP="0051125D">
      <w:pPr>
        <w:pStyle w:val="FootnoteText"/>
        <w:ind w:firstLine="720"/>
      </w:pPr>
      <w:r w:rsidRPr="00C461C9">
        <w:rPr>
          <w:rStyle w:val="FootnoteReference"/>
        </w:rPr>
        <w:footnoteRef/>
      </w:r>
      <w:r w:rsidRPr="00C461C9">
        <w:t xml:space="preserve"> Nuban Timo, </w:t>
      </w:r>
      <w:r w:rsidRPr="00C461C9">
        <w:rPr>
          <w:i/>
          <w:iCs/>
        </w:rPr>
        <w:t xml:space="preserve">Op.cit, </w:t>
      </w:r>
      <w:r w:rsidRPr="00C461C9">
        <w:t>386-377.</w:t>
      </w:r>
    </w:p>
  </w:footnote>
  <w:footnote w:id="12">
    <w:p w14:paraId="1484F20B" w14:textId="77777777" w:rsidR="0051125D" w:rsidRPr="00C461C9" w:rsidRDefault="0051125D" w:rsidP="0051125D">
      <w:pPr>
        <w:pStyle w:val="FootnoteText"/>
        <w:ind w:firstLine="720"/>
      </w:pPr>
      <w:r w:rsidRPr="00C461C9">
        <w:rPr>
          <w:rStyle w:val="FootnoteReference"/>
        </w:rPr>
        <w:footnoteRef/>
      </w:r>
      <w:r w:rsidRPr="00C461C9">
        <w:t xml:space="preserve"> Agustinus Widyawan P. Putra, “Autentisitas Manusia Menurut Albert Camus”, </w:t>
      </w:r>
      <w:r w:rsidRPr="00C461C9">
        <w:rPr>
          <w:i/>
          <w:iCs/>
        </w:rPr>
        <w:t>Focus</w:t>
      </w:r>
      <w:r w:rsidRPr="00C461C9">
        <w:t>, Vol. 1, No. 1 (2020) : 3.</w:t>
      </w:r>
    </w:p>
  </w:footnote>
  <w:footnote w:id="13">
    <w:p w14:paraId="4B463E00" w14:textId="77777777" w:rsidR="0051125D" w:rsidRPr="00C461C9" w:rsidRDefault="0051125D" w:rsidP="0051125D">
      <w:pPr>
        <w:pStyle w:val="FootnoteText"/>
        <w:ind w:firstLine="720"/>
      </w:pPr>
      <w:r w:rsidRPr="00C461C9">
        <w:rPr>
          <w:rStyle w:val="FootnoteReference"/>
        </w:rPr>
        <w:footnoteRef/>
      </w:r>
      <w:r w:rsidRPr="00C461C9">
        <w:t xml:space="preserve"> Leonardo Boff, </w:t>
      </w:r>
      <w:r w:rsidRPr="00C461C9">
        <w:rPr>
          <w:i/>
          <w:iCs/>
        </w:rPr>
        <w:t>Allah Persekutuan</w:t>
      </w:r>
      <w:r w:rsidRPr="00C461C9">
        <w:t>, (Maumere : Penerbit Ledalero, 2004), 260</w:t>
      </w:r>
    </w:p>
  </w:footnote>
  <w:footnote w:id="14">
    <w:p w14:paraId="60C57411" w14:textId="77777777" w:rsidR="0051125D" w:rsidRPr="00C461C9" w:rsidRDefault="0051125D" w:rsidP="0051125D">
      <w:pPr>
        <w:pStyle w:val="FootnoteText"/>
        <w:ind w:firstLine="720"/>
      </w:pPr>
      <w:r w:rsidRPr="00C461C9">
        <w:rPr>
          <w:rStyle w:val="FootnoteReference"/>
        </w:rPr>
        <w:footnoteRef/>
      </w:r>
      <w:r w:rsidRPr="00C461C9">
        <w:t xml:space="preserve"> Boff, </w:t>
      </w:r>
      <w:r w:rsidRPr="00C461C9">
        <w:rPr>
          <w:i/>
          <w:iCs/>
        </w:rPr>
        <w:t xml:space="preserve">ibid, </w:t>
      </w:r>
      <w:r w:rsidRPr="00C461C9">
        <w:t>260-261</w:t>
      </w:r>
    </w:p>
  </w:footnote>
  <w:footnote w:id="15">
    <w:p w14:paraId="1202A9DD" w14:textId="77777777" w:rsidR="0051125D" w:rsidRPr="00C461C9" w:rsidRDefault="0051125D" w:rsidP="0051125D">
      <w:pPr>
        <w:pStyle w:val="FootnoteText"/>
        <w:ind w:firstLine="720"/>
      </w:pPr>
      <w:r w:rsidRPr="00C461C9">
        <w:rPr>
          <w:rStyle w:val="FootnoteReference"/>
        </w:rPr>
        <w:footnoteRef/>
      </w:r>
      <w:r w:rsidRPr="00C461C9">
        <w:t xml:space="preserve"> Boff, </w:t>
      </w:r>
      <w:r w:rsidRPr="00C461C9">
        <w:rPr>
          <w:i/>
          <w:iCs/>
        </w:rPr>
        <w:t>ibid</w:t>
      </w:r>
      <w:r w:rsidRPr="00C461C9">
        <w:t>, 262</w:t>
      </w:r>
    </w:p>
  </w:footnote>
  <w:footnote w:id="16">
    <w:p w14:paraId="0B3B362A" w14:textId="77777777" w:rsidR="0051125D" w:rsidRPr="00C461C9" w:rsidRDefault="0051125D" w:rsidP="0051125D">
      <w:pPr>
        <w:pStyle w:val="FootnoteText"/>
        <w:ind w:firstLine="720"/>
      </w:pPr>
      <w:r w:rsidRPr="00C461C9">
        <w:rPr>
          <w:rStyle w:val="FootnoteReference"/>
        </w:rPr>
        <w:footnoteRef/>
      </w:r>
      <w:r w:rsidRPr="00C461C9">
        <w:t xml:space="preserve"> Henry C. Thiessen, Teologi Sistematika, (</w:t>
      </w:r>
      <w:proofErr w:type="gramStart"/>
      <w:r w:rsidRPr="00C461C9">
        <w:t>Malang :</w:t>
      </w:r>
      <w:proofErr w:type="gramEnd"/>
      <w:r w:rsidRPr="00C461C9">
        <w:t xml:space="preserve"> Gandum Mas, 1992), 188.</w:t>
      </w:r>
    </w:p>
  </w:footnote>
  <w:footnote w:id="17">
    <w:p w14:paraId="7999A98B" w14:textId="77777777" w:rsidR="0051125D" w:rsidRPr="00C461C9" w:rsidRDefault="0051125D" w:rsidP="0051125D">
      <w:pPr>
        <w:pStyle w:val="FootnoteText"/>
        <w:ind w:firstLine="720"/>
      </w:pPr>
      <w:r w:rsidRPr="00C461C9">
        <w:rPr>
          <w:rStyle w:val="FootnoteReference"/>
        </w:rPr>
        <w:footnoteRef/>
      </w:r>
      <w:r w:rsidRPr="00C461C9">
        <w:t xml:space="preserve"> Herman Bavinck, </w:t>
      </w:r>
      <w:r w:rsidRPr="00C461C9">
        <w:rPr>
          <w:i/>
          <w:iCs/>
        </w:rPr>
        <w:t>Reformed</w:t>
      </w:r>
      <w:r w:rsidRPr="00C461C9">
        <w:t xml:space="preserve">  </w:t>
      </w:r>
      <w:r w:rsidRPr="00C461C9">
        <w:rPr>
          <w:i/>
          <w:iCs/>
        </w:rPr>
        <w:t>Dogmatics</w:t>
      </w:r>
      <w:r w:rsidRPr="00C461C9">
        <w:t>, (Michigan : Baker Academic, 2011), 254</w:t>
      </w:r>
    </w:p>
  </w:footnote>
  <w:footnote w:id="18">
    <w:p w14:paraId="170A33DB" w14:textId="77777777" w:rsidR="0051125D" w:rsidRPr="00C461C9" w:rsidRDefault="0051125D" w:rsidP="0051125D">
      <w:pPr>
        <w:pStyle w:val="FootnoteText"/>
        <w:ind w:firstLine="720"/>
      </w:pPr>
      <w:r w:rsidRPr="00C461C9">
        <w:rPr>
          <w:rStyle w:val="FootnoteReference"/>
        </w:rPr>
        <w:footnoteRef/>
      </w:r>
      <w:r w:rsidRPr="00C461C9">
        <w:t xml:space="preserve"> Nuban Timo, </w:t>
      </w:r>
      <w:r w:rsidRPr="00C461C9">
        <w:rPr>
          <w:i/>
          <w:iCs/>
        </w:rPr>
        <w:t xml:space="preserve">Op.cit, </w:t>
      </w:r>
      <w:r w:rsidRPr="00C461C9">
        <w:t>226</w:t>
      </w:r>
    </w:p>
  </w:footnote>
  <w:footnote w:id="19">
    <w:p w14:paraId="7D7423DC" w14:textId="77777777" w:rsidR="0051125D" w:rsidRPr="00C461C9" w:rsidRDefault="0051125D" w:rsidP="0051125D">
      <w:pPr>
        <w:pStyle w:val="FootnoteText"/>
        <w:ind w:firstLine="720"/>
      </w:pPr>
      <w:r w:rsidRPr="00C461C9">
        <w:rPr>
          <w:rStyle w:val="FootnoteReference"/>
        </w:rPr>
        <w:footnoteRef/>
      </w:r>
      <w:r w:rsidRPr="00C461C9">
        <w:t xml:space="preserve"> Soedarmo, </w:t>
      </w:r>
      <w:r w:rsidRPr="00C461C9">
        <w:rPr>
          <w:i/>
          <w:iCs/>
        </w:rPr>
        <w:t xml:space="preserve">Op.cit, </w:t>
      </w:r>
      <w:r w:rsidRPr="00C461C9">
        <w:t>146</w:t>
      </w:r>
    </w:p>
  </w:footnote>
  <w:footnote w:id="20">
    <w:p w14:paraId="6B909DD0" w14:textId="77777777" w:rsidR="0051125D" w:rsidRPr="00C461C9" w:rsidRDefault="0051125D" w:rsidP="0051125D">
      <w:pPr>
        <w:pStyle w:val="FootnoteText"/>
        <w:ind w:firstLine="720"/>
      </w:pPr>
      <w:r w:rsidRPr="00C461C9">
        <w:rPr>
          <w:rStyle w:val="FootnoteReference"/>
        </w:rPr>
        <w:footnoteRef/>
      </w:r>
      <w:r w:rsidRPr="00C461C9">
        <w:t xml:space="preserve"> Soedarmo, </w:t>
      </w:r>
      <w:r w:rsidRPr="00C461C9">
        <w:rPr>
          <w:i/>
          <w:iCs/>
        </w:rPr>
        <w:t xml:space="preserve">ibid, </w:t>
      </w:r>
      <w:r w:rsidRPr="00C461C9">
        <w:t>146-147</w:t>
      </w:r>
    </w:p>
  </w:footnote>
  <w:footnote w:id="21">
    <w:p w14:paraId="26032E2C" w14:textId="77777777" w:rsidR="0051125D" w:rsidRPr="00C461C9" w:rsidRDefault="0051125D" w:rsidP="0051125D">
      <w:pPr>
        <w:pStyle w:val="FootnoteText"/>
        <w:ind w:firstLine="720"/>
      </w:pPr>
      <w:r w:rsidRPr="00C461C9">
        <w:rPr>
          <w:rStyle w:val="FootnoteReference"/>
        </w:rPr>
        <w:footnoteRef/>
      </w:r>
      <w:r w:rsidRPr="00C461C9">
        <w:t xml:space="preserve"> G. C. van Niftrik &amp; B. J. Boland, Dogmatika Masa Kini, (</w:t>
      </w:r>
      <w:proofErr w:type="gramStart"/>
      <w:r w:rsidRPr="00C461C9">
        <w:t>Jakarta :</w:t>
      </w:r>
      <w:proofErr w:type="gramEnd"/>
      <w:r w:rsidRPr="00C461C9">
        <w:t xml:space="preserve"> BPK. </w:t>
      </w:r>
      <w:proofErr w:type="gramStart"/>
      <w:r w:rsidRPr="00C461C9">
        <w:t>Gunung Mulia, 2017), 72.</w:t>
      </w:r>
      <w:proofErr w:type="gramEnd"/>
    </w:p>
  </w:footnote>
  <w:footnote w:id="22">
    <w:p w14:paraId="630F2054" w14:textId="77777777" w:rsidR="0051125D" w:rsidRPr="00C461C9" w:rsidRDefault="0051125D" w:rsidP="0051125D">
      <w:pPr>
        <w:pStyle w:val="FootnoteText"/>
        <w:ind w:firstLine="720"/>
      </w:pPr>
      <w:r w:rsidRPr="00C461C9">
        <w:rPr>
          <w:rStyle w:val="FootnoteReference"/>
        </w:rPr>
        <w:footnoteRef/>
      </w:r>
      <w:r w:rsidRPr="00C461C9">
        <w:t xml:space="preserve"> Oda J. Widianing, </w:t>
      </w:r>
      <w:r>
        <w:rPr>
          <w:i/>
          <w:iCs/>
        </w:rPr>
        <w:t>Loc.it,</w:t>
      </w:r>
      <w:r>
        <w:t xml:space="preserve"> </w:t>
      </w:r>
      <w:r w:rsidRPr="00C461C9">
        <w:t>485.</w:t>
      </w:r>
    </w:p>
  </w:footnote>
  <w:footnote w:id="23">
    <w:p w14:paraId="56582841" w14:textId="77777777" w:rsidR="0051125D" w:rsidRPr="00C461C9" w:rsidRDefault="0051125D" w:rsidP="0051125D">
      <w:pPr>
        <w:pStyle w:val="FootnoteText"/>
        <w:ind w:firstLine="720"/>
      </w:pPr>
      <w:r w:rsidRPr="00C461C9">
        <w:rPr>
          <w:rStyle w:val="FootnoteReference"/>
        </w:rPr>
        <w:footnoteRef/>
      </w:r>
      <w:r w:rsidRPr="00C461C9">
        <w:t xml:space="preserve"> Soedarmo, 146-147</w:t>
      </w:r>
    </w:p>
  </w:footnote>
  <w:footnote w:id="24">
    <w:p w14:paraId="0F0D3B7B" w14:textId="77777777" w:rsidR="0051125D" w:rsidRPr="00C461C9" w:rsidRDefault="0051125D" w:rsidP="0051125D">
      <w:pPr>
        <w:pStyle w:val="FootnoteText"/>
        <w:ind w:firstLine="720"/>
      </w:pPr>
      <w:r w:rsidRPr="00C461C9">
        <w:rPr>
          <w:rStyle w:val="FootnoteReference"/>
        </w:rPr>
        <w:footnoteRef/>
      </w:r>
      <w:r w:rsidRPr="00C461C9">
        <w:t xml:space="preserve"> Marsi B. Rantesalu, "Penderitaan dari Sudut Pandang Teologi Injili", </w:t>
      </w:r>
      <w:r w:rsidRPr="00C461C9">
        <w:rPr>
          <w:i/>
          <w:iCs/>
        </w:rPr>
        <w:t xml:space="preserve">Jurnal Ilmiah Religiosity Entity Humanity (JIREH), </w:t>
      </w:r>
      <w:r w:rsidRPr="00C461C9">
        <w:t>Vol. 2, No. 2, (Desember, 2020) : 130.</w:t>
      </w:r>
    </w:p>
  </w:footnote>
  <w:footnote w:id="25">
    <w:p w14:paraId="09AF8673" w14:textId="77777777" w:rsidR="0051125D" w:rsidRPr="00C461C9" w:rsidRDefault="0051125D" w:rsidP="0051125D">
      <w:pPr>
        <w:pStyle w:val="FootnoteText"/>
        <w:ind w:firstLine="720"/>
      </w:pPr>
      <w:r w:rsidRPr="00C461C9">
        <w:rPr>
          <w:rStyle w:val="FootnoteReference"/>
        </w:rPr>
        <w:footnoteRef/>
      </w:r>
      <w:r w:rsidRPr="00C461C9">
        <w:t xml:space="preserve"> Esther Gunawan, “Meneropong Makna Penderitaan Manusia Menurut Konsep Teodise C. S. Lewis”, </w:t>
      </w:r>
      <w:r w:rsidRPr="00C461C9">
        <w:rPr>
          <w:i/>
          <w:iCs/>
        </w:rPr>
        <w:t>Veritas</w:t>
      </w:r>
      <w:r w:rsidRPr="00C461C9">
        <w:t>, Volume 16, Nomor 1, (Juni, 2017</w:t>
      </w:r>
      <w:proofErr w:type="gramStart"/>
      <w:r w:rsidRPr="00C461C9">
        <w:t>) :</w:t>
      </w:r>
      <w:proofErr w:type="gramEnd"/>
      <w:r w:rsidRPr="00C461C9">
        <w:t xml:space="preserve"> 23.</w:t>
      </w:r>
    </w:p>
  </w:footnote>
  <w:footnote w:id="26">
    <w:p w14:paraId="2DC59610" w14:textId="77777777" w:rsidR="0051125D" w:rsidRPr="00C461C9" w:rsidRDefault="0051125D" w:rsidP="0051125D">
      <w:pPr>
        <w:pStyle w:val="FootnoteText"/>
        <w:ind w:firstLine="720"/>
      </w:pPr>
      <w:r w:rsidRPr="00C461C9">
        <w:rPr>
          <w:rStyle w:val="FootnoteReference"/>
        </w:rPr>
        <w:footnoteRef/>
      </w:r>
      <w:r w:rsidRPr="00C461C9">
        <w:t xml:space="preserve"> Yohanis Calvin, </w:t>
      </w:r>
      <w:r w:rsidRPr="00C461C9">
        <w:rPr>
          <w:i/>
          <w:iCs/>
        </w:rPr>
        <w:t xml:space="preserve">Institutio, </w:t>
      </w:r>
      <w:r w:rsidRPr="00C461C9">
        <w:t>(</w:t>
      </w:r>
      <w:proofErr w:type="gramStart"/>
      <w:r w:rsidRPr="00C461C9">
        <w:t>Jakarta :</w:t>
      </w:r>
      <w:proofErr w:type="gramEnd"/>
      <w:r w:rsidRPr="00C461C9">
        <w:t xml:space="preserve"> BPK. </w:t>
      </w:r>
      <w:proofErr w:type="gramStart"/>
      <w:r w:rsidRPr="00C461C9">
        <w:t>Gunung Mulia, 2015), 50.</w:t>
      </w:r>
      <w:proofErr w:type="gramEnd"/>
    </w:p>
  </w:footnote>
  <w:footnote w:id="27">
    <w:p w14:paraId="101AA4B4" w14:textId="77777777" w:rsidR="0051125D" w:rsidRPr="00C461C9" w:rsidRDefault="0051125D" w:rsidP="0051125D">
      <w:pPr>
        <w:pStyle w:val="FootnoteText"/>
        <w:ind w:firstLine="720"/>
      </w:pPr>
      <w:r w:rsidRPr="00C461C9">
        <w:rPr>
          <w:rStyle w:val="FootnoteReference"/>
        </w:rPr>
        <w:footnoteRef/>
      </w:r>
      <w:r w:rsidRPr="00C461C9">
        <w:t xml:space="preserve"> Boff, </w:t>
      </w:r>
      <w:r w:rsidRPr="00C461C9">
        <w:rPr>
          <w:i/>
          <w:iCs/>
        </w:rPr>
        <w:t>Op.cit</w:t>
      </w:r>
      <w:r w:rsidRPr="00C461C9">
        <w:t>, 261</w:t>
      </w:r>
    </w:p>
  </w:footnote>
  <w:footnote w:id="28">
    <w:p w14:paraId="692D4C67" w14:textId="77777777" w:rsidR="0051125D" w:rsidRPr="00C461C9" w:rsidRDefault="0051125D" w:rsidP="0051125D">
      <w:pPr>
        <w:pStyle w:val="FootnoteText"/>
        <w:ind w:firstLine="720"/>
      </w:pPr>
      <w:r w:rsidRPr="00C461C9">
        <w:rPr>
          <w:rStyle w:val="FootnoteReference"/>
        </w:rPr>
        <w:footnoteRef/>
      </w:r>
      <w:r w:rsidRPr="00C461C9">
        <w:t xml:space="preserve"> Widianing, </w:t>
      </w:r>
      <w:r w:rsidRPr="00C461C9">
        <w:rPr>
          <w:i/>
          <w:iCs/>
        </w:rPr>
        <w:t>Loc.it</w:t>
      </w:r>
      <w:r w:rsidRPr="00C461C9">
        <w:t>, 485</w:t>
      </w:r>
    </w:p>
  </w:footnote>
  <w:footnote w:id="29">
    <w:p w14:paraId="09D90268" w14:textId="77777777" w:rsidR="0051125D" w:rsidRPr="00C461C9" w:rsidRDefault="0051125D" w:rsidP="0051125D">
      <w:pPr>
        <w:pStyle w:val="FootnoteText"/>
        <w:ind w:firstLine="720"/>
      </w:pPr>
      <w:r w:rsidRPr="00C461C9">
        <w:rPr>
          <w:rStyle w:val="FootnoteReference"/>
        </w:rPr>
        <w:footnoteRef/>
      </w:r>
      <w:r w:rsidRPr="00C461C9">
        <w:t xml:space="preserve"> Hipolitus K. Kewuel, “Memandang Tuhan dari Balik Pengalaman Kejahatan, Penderitaan, dan Kematian”, </w:t>
      </w:r>
      <w:r w:rsidRPr="00C461C9">
        <w:rPr>
          <w:i/>
          <w:iCs/>
        </w:rPr>
        <w:t>Jurnal Pendidikan Agama Katolik</w:t>
      </w:r>
      <w:r w:rsidRPr="00C461C9">
        <w:t>, Vol. 4, No. 2, (Oktober, 2010) : 267-268.</w:t>
      </w:r>
    </w:p>
  </w:footnote>
  <w:footnote w:id="30">
    <w:p w14:paraId="653E1457" w14:textId="77777777" w:rsidR="0051125D" w:rsidRPr="00C461C9" w:rsidRDefault="0051125D" w:rsidP="0051125D">
      <w:pPr>
        <w:pStyle w:val="FootnoteText"/>
        <w:ind w:firstLine="720"/>
      </w:pPr>
      <w:r w:rsidRPr="00C461C9">
        <w:rPr>
          <w:rStyle w:val="FootnoteReference"/>
        </w:rPr>
        <w:footnoteRef/>
      </w:r>
      <w:r w:rsidRPr="00C461C9">
        <w:t xml:space="preserve"> Nemesius Pradipta, “Belas Kasih allah dalam Kematian Kristiani menurut Karl Rahner”, </w:t>
      </w:r>
      <w:r w:rsidRPr="00C461C9">
        <w:rPr>
          <w:i/>
          <w:iCs/>
        </w:rPr>
        <w:t>Jurnal Teologi,</w:t>
      </w:r>
      <w:r w:rsidRPr="00C461C9">
        <w:t xml:space="preserve"> Vol. 8, No. 1, (2019) : 53-54.</w:t>
      </w:r>
    </w:p>
  </w:footnote>
  <w:footnote w:id="31">
    <w:p w14:paraId="199F2F2A" w14:textId="77777777" w:rsidR="0051125D" w:rsidRPr="00C461C9" w:rsidRDefault="0051125D" w:rsidP="0051125D">
      <w:pPr>
        <w:pStyle w:val="FootnoteText"/>
        <w:ind w:firstLine="720"/>
      </w:pPr>
      <w:r w:rsidRPr="00C461C9">
        <w:rPr>
          <w:rStyle w:val="FootnoteReference"/>
        </w:rPr>
        <w:footnoteRef/>
      </w:r>
      <w:r w:rsidRPr="00C461C9">
        <w:t xml:space="preserve"> Niftrik &amp; Boland, </w:t>
      </w:r>
      <w:r w:rsidRPr="00C461C9">
        <w:rPr>
          <w:i/>
          <w:iCs/>
        </w:rPr>
        <w:t xml:space="preserve">ibid, </w:t>
      </w:r>
      <w:r w:rsidRPr="00C461C9">
        <w:t>176</w:t>
      </w:r>
    </w:p>
  </w:footnote>
  <w:footnote w:id="32">
    <w:p w14:paraId="0AE124C5" w14:textId="77777777" w:rsidR="0051125D" w:rsidRPr="00C461C9" w:rsidRDefault="0051125D" w:rsidP="0051125D">
      <w:pPr>
        <w:pStyle w:val="FootnoteText"/>
        <w:ind w:firstLine="720"/>
      </w:pPr>
      <w:r w:rsidRPr="00C461C9">
        <w:rPr>
          <w:rStyle w:val="FootnoteReference"/>
        </w:rPr>
        <w:footnoteRef/>
      </w:r>
      <w:r w:rsidRPr="00C461C9">
        <w:t xml:space="preserve"> Pradipta, </w:t>
      </w:r>
      <w:r w:rsidRPr="00C461C9">
        <w:rPr>
          <w:i/>
          <w:iCs/>
        </w:rPr>
        <w:t xml:space="preserve">Op.cit, </w:t>
      </w:r>
      <w:r w:rsidRPr="00C461C9">
        <w:t>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625CB" w14:textId="6AA858D3" w:rsidR="0006575F" w:rsidRPr="003A657F" w:rsidRDefault="0006575F" w:rsidP="003A657F">
    <w:pPr>
      <w:pStyle w:val="Header"/>
      <w:spacing w:beforeAutospacing="0"/>
      <w:ind w:right="62" w:firstLine="561"/>
      <w:rPr>
        <w:rFonts w:ascii="Bookman Old Style" w:hAnsi="Bookman Old Style" w:cs="Aldhabi"/>
        <w:color w:val="44546A" w:themeColor="text2"/>
        <w:sz w:val="20"/>
        <w:szCs w:val="20"/>
        <w:u w:val="single"/>
      </w:rPr>
    </w:pPr>
  </w:p>
  <w:p w14:paraId="3B7FCFB8" w14:textId="77777777" w:rsidR="0006575F" w:rsidRDefault="000657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57D4" w14:textId="37C61A26" w:rsidR="0006575F" w:rsidRDefault="0006575F" w:rsidP="008C2144">
    <w:pPr>
      <w:tabs>
        <w:tab w:val="left" w:pos="520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B0027"/>
    <w:multiLevelType w:val="multilevel"/>
    <w:tmpl w:val="0B8C4AF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44F12656"/>
    <w:multiLevelType w:val="hybridMultilevel"/>
    <w:tmpl w:val="D292D21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8826E6A"/>
    <w:multiLevelType w:val="multilevel"/>
    <w:tmpl w:val="6130F06A"/>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A4"/>
    <w:rsid w:val="0006575F"/>
    <w:rsid w:val="00072DAD"/>
    <w:rsid w:val="000A4499"/>
    <w:rsid w:val="000C51F1"/>
    <w:rsid w:val="000F5FC5"/>
    <w:rsid w:val="00136ACB"/>
    <w:rsid w:val="00162C04"/>
    <w:rsid w:val="00173164"/>
    <w:rsid w:val="00197BC7"/>
    <w:rsid w:val="001C35CA"/>
    <w:rsid w:val="001D69D8"/>
    <w:rsid w:val="001E5F80"/>
    <w:rsid w:val="002062FE"/>
    <w:rsid w:val="002B4C83"/>
    <w:rsid w:val="002D3B43"/>
    <w:rsid w:val="002E256E"/>
    <w:rsid w:val="0039638C"/>
    <w:rsid w:val="003A657F"/>
    <w:rsid w:val="003D56DA"/>
    <w:rsid w:val="00402224"/>
    <w:rsid w:val="004048BB"/>
    <w:rsid w:val="00425DF9"/>
    <w:rsid w:val="004352EA"/>
    <w:rsid w:val="00441D4B"/>
    <w:rsid w:val="00460B7E"/>
    <w:rsid w:val="00464DFD"/>
    <w:rsid w:val="00485CE3"/>
    <w:rsid w:val="004A6F70"/>
    <w:rsid w:val="0051125D"/>
    <w:rsid w:val="00565656"/>
    <w:rsid w:val="00565AEF"/>
    <w:rsid w:val="00566A49"/>
    <w:rsid w:val="005D2CC3"/>
    <w:rsid w:val="005F10B4"/>
    <w:rsid w:val="00613E36"/>
    <w:rsid w:val="006B067D"/>
    <w:rsid w:val="006D4F06"/>
    <w:rsid w:val="00726AD6"/>
    <w:rsid w:val="007868EA"/>
    <w:rsid w:val="00794F86"/>
    <w:rsid w:val="00842C2A"/>
    <w:rsid w:val="008C2144"/>
    <w:rsid w:val="008F5D97"/>
    <w:rsid w:val="00943327"/>
    <w:rsid w:val="00980E86"/>
    <w:rsid w:val="00984B3F"/>
    <w:rsid w:val="009A335B"/>
    <w:rsid w:val="00A452D9"/>
    <w:rsid w:val="00A73374"/>
    <w:rsid w:val="00A765F8"/>
    <w:rsid w:val="00A90EAC"/>
    <w:rsid w:val="00B20C7F"/>
    <w:rsid w:val="00B55106"/>
    <w:rsid w:val="00BA1531"/>
    <w:rsid w:val="00BC628E"/>
    <w:rsid w:val="00BE0475"/>
    <w:rsid w:val="00C537C9"/>
    <w:rsid w:val="00C74959"/>
    <w:rsid w:val="00C75930"/>
    <w:rsid w:val="00CD15A7"/>
    <w:rsid w:val="00CE2815"/>
    <w:rsid w:val="00CE5CA4"/>
    <w:rsid w:val="00CE659F"/>
    <w:rsid w:val="00CF435F"/>
    <w:rsid w:val="00D31700"/>
    <w:rsid w:val="00D43C8D"/>
    <w:rsid w:val="00DA6F5D"/>
    <w:rsid w:val="00DC4A95"/>
    <w:rsid w:val="00DD0C0D"/>
    <w:rsid w:val="00DE0F20"/>
    <w:rsid w:val="00E52466"/>
    <w:rsid w:val="00E6066D"/>
    <w:rsid w:val="00E65941"/>
    <w:rsid w:val="00E930A0"/>
    <w:rsid w:val="00EA2CD3"/>
    <w:rsid w:val="00EC5EE2"/>
    <w:rsid w:val="00F04DD6"/>
    <w:rsid w:val="00F67E83"/>
    <w:rsid w:val="00F70E46"/>
    <w:rsid w:val="00F90DEA"/>
    <w:rsid w:val="00FB29FE"/>
    <w:rsid w:val="00FC4B96"/>
    <w:rsid w:val="00FE2CF4"/>
    <w:rsid w:val="00FF6A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4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A4"/>
    <w:pPr>
      <w:spacing w:before="100" w:beforeAutospacing="1" w:after="5" w:line="477" w:lineRule="auto"/>
      <w:ind w:right="60" w:firstLine="559"/>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6">
    <w:name w:val="16"/>
    <w:basedOn w:val="DefaultParagraphFont"/>
    <w:rsid w:val="00CE5CA4"/>
    <w:rPr>
      <w:rFonts w:ascii="DengXian" w:eastAsia="DengXian" w:hAnsi="DengXian" w:hint="eastAsia"/>
      <w:color w:val="0563C1"/>
      <w:u w:val="single"/>
    </w:rPr>
  </w:style>
  <w:style w:type="paragraph" w:customStyle="1" w:styleId="Default">
    <w:name w:val="Default"/>
    <w:rsid w:val="00CE5CA4"/>
    <w:pPr>
      <w:autoSpaceDE w:val="0"/>
      <w:autoSpaceDN w:val="0"/>
      <w:adjustRightInd w:val="0"/>
    </w:pPr>
    <w:rPr>
      <w:rFonts w:ascii="Times New Roman" w:hAnsi="Times New Roman" w:cs="Times New Roman"/>
      <w:color w:val="000000"/>
      <w:lang w:val="en-US"/>
    </w:rPr>
  </w:style>
  <w:style w:type="paragraph" w:customStyle="1" w:styleId="Pa0">
    <w:name w:val="Pa0"/>
    <w:basedOn w:val="Default"/>
    <w:next w:val="Default"/>
    <w:uiPriority w:val="99"/>
    <w:rsid w:val="00CE5CA4"/>
    <w:pPr>
      <w:spacing w:line="241" w:lineRule="atLeast"/>
    </w:pPr>
    <w:rPr>
      <w:color w:val="auto"/>
    </w:rPr>
  </w:style>
  <w:style w:type="character" w:styleId="Hyperlink">
    <w:name w:val="Hyperlink"/>
    <w:basedOn w:val="DefaultParagraphFont"/>
    <w:uiPriority w:val="99"/>
    <w:unhideWhenUsed/>
    <w:rsid w:val="00943327"/>
    <w:rPr>
      <w:color w:val="0000FF"/>
      <w:u w:val="single"/>
    </w:rPr>
  </w:style>
  <w:style w:type="paragraph" w:styleId="Header">
    <w:name w:val="header"/>
    <w:basedOn w:val="Normal"/>
    <w:link w:val="HeaderChar"/>
    <w:uiPriority w:val="99"/>
    <w:unhideWhenUsed/>
    <w:rsid w:val="00A733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3374"/>
    <w:rPr>
      <w:rFonts w:ascii="Times New Roman" w:eastAsia="Times New Roman" w:hAnsi="Times New Roman" w:cs="Times New Roman"/>
      <w:color w:val="000000"/>
    </w:rPr>
  </w:style>
  <w:style w:type="paragraph" w:styleId="Footer">
    <w:name w:val="footer"/>
    <w:basedOn w:val="Normal"/>
    <w:link w:val="FooterChar"/>
    <w:uiPriority w:val="99"/>
    <w:unhideWhenUsed/>
    <w:rsid w:val="00A7337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73374"/>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A73374"/>
    <w:rPr>
      <w:color w:val="808080"/>
    </w:rPr>
  </w:style>
  <w:style w:type="character" w:styleId="PageNumber">
    <w:name w:val="page number"/>
    <w:basedOn w:val="DefaultParagraphFont"/>
    <w:uiPriority w:val="99"/>
    <w:semiHidden/>
    <w:unhideWhenUsed/>
    <w:rsid w:val="007868EA"/>
  </w:style>
  <w:style w:type="character" w:customStyle="1" w:styleId="UnresolvedMention">
    <w:name w:val="Unresolved Mention"/>
    <w:basedOn w:val="DefaultParagraphFont"/>
    <w:uiPriority w:val="99"/>
    <w:semiHidden/>
    <w:unhideWhenUsed/>
    <w:rsid w:val="00B20C7F"/>
    <w:rPr>
      <w:color w:val="605E5C"/>
      <w:shd w:val="clear" w:color="auto" w:fill="E1DFDD"/>
    </w:rPr>
  </w:style>
  <w:style w:type="paragraph" w:styleId="FootnoteText">
    <w:name w:val="footnote text"/>
    <w:basedOn w:val="Normal"/>
    <w:link w:val="FootnoteTextChar"/>
    <w:uiPriority w:val="99"/>
    <w:unhideWhenUsed/>
    <w:qFormat/>
    <w:rsid w:val="00162C04"/>
    <w:pPr>
      <w:spacing w:before="0" w:beforeAutospacing="0"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162C04"/>
    <w:rPr>
      <w:rFonts w:ascii="Times New Roman" w:eastAsia="Times New Roman" w:hAnsi="Times New Roman" w:cs="Times New Roman"/>
      <w:color w:val="000000"/>
      <w:sz w:val="20"/>
      <w:szCs w:val="20"/>
      <w:lang w:val="en-US"/>
    </w:rPr>
  </w:style>
  <w:style w:type="character" w:styleId="FootnoteReference">
    <w:name w:val="footnote reference"/>
    <w:basedOn w:val="DefaultParagraphFont"/>
    <w:uiPriority w:val="99"/>
    <w:unhideWhenUsed/>
    <w:qFormat/>
    <w:rsid w:val="00162C04"/>
    <w:rPr>
      <w:vertAlign w:val="superscript"/>
    </w:rPr>
  </w:style>
  <w:style w:type="paragraph" w:customStyle="1" w:styleId="footnotedescription">
    <w:name w:val="footnote description"/>
    <w:next w:val="Normal"/>
    <w:link w:val="footnotedescriptionChar"/>
    <w:qFormat/>
    <w:rsid w:val="00162C04"/>
    <w:pPr>
      <w:spacing w:line="259" w:lineRule="auto"/>
    </w:pPr>
    <w:rPr>
      <w:rFonts w:ascii="Times New Roman" w:eastAsia="Times New Roman" w:hAnsi="Times New Roman" w:cs="Times New Roman"/>
      <w:color w:val="000000"/>
      <w:sz w:val="20"/>
      <w:szCs w:val="22"/>
      <w:lang w:val="en-US"/>
    </w:rPr>
  </w:style>
  <w:style w:type="character" w:customStyle="1" w:styleId="footnotedescriptionChar">
    <w:name w:val="footnote description Char"/>
    <w:link w:val="footnotedescription"/>
    <w:qFormat/>
    <w:rsid w:val="00162C04"/>
    <w:rPr>
      <w:rFonts w:ascii="Times New Roman" w:eastAsia="Times New Roman" w:hAnsi="Times New Roman" w:cs="Times New Roman"/>
      <w:color w:val="000000"/>
      <w:sz w:val="20"/>
      <w:szCs w:val="22"/>
      <w:lang w:val="en-US"/>
    </w:rPr>
  </w:style>
  <w:style w:type="character" w:customStyle="1" w:styleId="footnotemark">
    <w:name w:val="footnote mark"/>
    <w:qFormat/>
    <w:rsid w:val="00162C04"/>
    <w:rPr>
      <w:rFonts w:ascii="Times New Roman" w:eastAsia="Times New Roman" w:hAnsi="Times New Roman" w:cs="Times New Roman"/>
      <w:color w:val="000000"/>
      <w:sz w:val="20"/>
      <w:vertAlign w:val="superscript"/>
    </w:rPr>
  </w:style>
  <w:style w:type="paragraph" w:customStyle="1" w:styleId="NoSpacing1">
    <w:name w:val="No Spacing1"/>
    <w:uiPriority w:val="1"/>
    <w:qFormat/>
    <w:rsid w:val="00162C04"/>
    <w:pPr>
      <w:ind w:right="60" w:firstLine="559"/>
      <w:jc w:val="both"/>
    </w:pPr>
    <w:rPr>
      <w:rFonts w:ascii="Times New Roman" w:eastAsia="Times New Roman" w:hAnsi="Times New Roman" w:cs="Times New Roman"/>
      <w:color w:val="000000"/>
      <w:szCs w:val="22"/>
      <w:lang w:val="en-US"/>
    </w:rPr>
  </w:style>
  <w:style w:type="paragraph" w:customStyle="1" w:styleId="Wawasan14Abstrakjudul">
    <w:name w:val="Wawasan_1.4 Abstrak_judul"/>
    <w:basedOn w:val="Normal"/>
    <w:rsid w:val="00FB29FE"/>
    <w:pPr>
      <w:spacing w:before="0" w:beforeAutospacing="0" w:after="0" w:line="240" w:lineRule="auto"/>
      <w:ind w:right="0" w:firstLine="0"/>
      <w:jc w:val="center"/>
    </w:pPr>
    <w:rPr>
      <w:b/>
      <w:bCs/>
      <w:color w:val="auto"/>
      <w:sz w:val="20"/>
      <w:szCs w:val="20"/>
    </w:rPr>
  </w:style>
  <w:style w:type="paragraph" w:customStyle="1" w:styleId="Wawasan15Abstrakbody">
    <w:name w:val="Wawasan_1.5 Abstrak_body"/>
    <w:basedOn w:val="Normal"/>
    <w:rsid w:val="00FB29FE"/>
    <w:pPr>
      <w:spacing w:before="0" w:beforeAutospacing="0" w:after="0" w:line="240" w:lineRule="auto"/>
      <w:ind w:right="0" w:firstLine="0"/>
    </w:pPr>
    <w:rPr>
      <w:color w:val="auto"/>
      <w:sz w:val="20"/>
      <w:szCs w:val="20"/>
    </w:rPr>
  </w:style>
  <w:style w:type="paragraph" w:customStyle="1" w:styleId="Wawasan16KeywordsJudul">
    <w:name w:val="Wawasan_1.6 Keywords_Judul"/>
    <w:basedOn w:val="Wawasan14Abstrakjudul"/>
    <w:rsid w:val="00FB29FE"/>
  </w:style>
  <w:style w:type="paragraph" w:customStyle="1" w:styleId="Wawasan24BodyArticle">
    <w:name w:val="Wawasan_2.4 Body Article"/>
    <w:basedOn w:val="Normal"/>
    <w:rsid w:val="003A657F"/>
    <w:pPr>
      <w:spacing w:before="0" w:beforeAutospacing="0" w:after="0" w:line="240" w:lineRule="auto"/>
      <w:ind w:right="0" w:firstLine="270"/>
      <w:contextualSpacing/>
    </w:pPr>
    <w:rPr>
      <w:color w:val="auto"/>
    </w:rPr>
  </w:style>
  <w:style w:type="paragraph" w:customStyle="1" w:styleId="Wawasan2Heading1Pendahuluandll">
    <w:name w:val="Wawasan_2 Heading 1 (Pendahuluan dll)"/>
    <w:basedOn w:val="Normal"/>
    <w:rsid w:val="003A657F"/>
    <w:pPr>
      <w:spacing w:after="100" w:afterAutospacing="1" w:line="240" w:lineRule="auto"/>
      <w:ind w:left="284" w:right="0" w:hanging="284"/>
    </w:pPr>
    <w:rPr>
      <w:b/>
      <w:bCs/>
      <w:color w:val="auto"/>
    </w:rPr>
  </w:style>
  <w:style w:type="paragraph" w:customStyle="1" w:styleId="Wawasan3ReferensiDaftarPustaka">
    <w:name w:val="Wawasan_3 Referensi (Daftar Pustaka)"/>
    <w:basedOn w:val="Normal"/>
    <w:rsid w:val="003A657F"/>
    <w:pPr>
      <w:widowControl w:val="0"/>
      <w:autoSpaceDE w:val="0"/>
      <w:autoSpaceDN w:val="0"/>
      <w:adjustRightInd w:val="0"/>
      <w:spacing w:after="100" w:afterAutospacing="1" w:line="240" w:lineRule="auto"/>
      <w:ind w:left="270" w:right="0" w:hanging="270"/>
    </w:pPr>
    <w:rPr>
      <w:color w:val="auto"/>
    </w:rPr>
  </w:style>
  <w:style w:type="paragraph" w:customStyle="1" w:styleId="Wawasan32Transliterasi">
    <w:name w:val="Wawasan_3.2 Transliterasi"/>
    <w:basedOn w:val="Normal"/>
    <w:rsid w:val="003A657F"/>
    <w:pPr>
      <w:spacing w:before="0" w:beforeAutospacing="0" w:after="0" w:line="240" w:lineRule="auto"/>
      <w:ind w:right="0" w:firstLine="0"/>
      <w:jc w:val="left"/>
    </w:pPr>
    <w:rPr>
      <w:rFonts w:ascii="Times New Arabic" w:hAnsi="Times New Arabic"/>
      <w:color w:val="auto"/>
    </w:rPr>
  </w:style>
  <w:style w:type="paragraph" w:customStyle="1" w:styleId="Wawasan23Heading3sub-subjudul">
    <w:name w:val="Wawasan_2.3 Heading 3 (sub-sub judul)"/>
    <w:basedOn w:val="Normal"/>
    <w:rsid w:val="003A657F"/>
    <w:pPr>
      <w:spacing w:after="100" w:afterAutospacing="1" w:line="240" w:lineRule="auto"/>
      <w:ind w:left="360" w:right="0" w:hanging="360"/>
    </w:pPr>
    <w:rPr>
      <w:b/>
      <w:bCs/>
      <w:color w:val="auto"/>
    </w:rPr>
  </w:style>
  <w:style w:type="paragraph" w:customStyle="1" w:styleId="Wawasan21Heading2subjudul">
    <w:name w:val="Wawasan_2.1 Heading 2 (sub judul)"/>
    <w:basedOn w:val="Normal"/>
    <w:rsid w:val="003A657F"/>
    <w:pPr>
      <w:spacing w:after="100" w:afterAutospacing="1" w:line="240" w:lineRule="auto"/>
      <w:ind w:left="284" w:right="0" w:hanging="284"/>
    </w:pPr>
    <w:rPr>
      <w:b/>
      <w:bCs/>
      <w:color w:val="auto"/>
    </w:rPr>
  </w:style>
  <w:style w:type="paragraph" w:styleId="ListParagraph">
    <w:name w:val="List Paragraph"/>
    <w:basedOn w:val="Normal"/>
    <w:uiPriority w:val="34"/>
    <w:qFormat/>
    <w:rsid w:val="0051125D"/>
    <w:pPr>
      <w:spacing w:before="0" w:beforeAutospacing="0" w:after="160" w:line="259" w:lineRule="auto"/>
      <w:ind w:left="720" w:right="0" w:firstLine="0"/>
      <w:contextualSpacing/>
      <w:jc w:val="left"/>
    </w:pPr>
    <w:rPr>
      <w:rFonts w:asciiTheme="minorHAnsi" w:eastAsiaTheme="minorEastAsia" w:hAnsiTheme="minorHAnsi" w:cstheme="minorBidi"/>
      <w:color w:val="auto"/>
      <w:sz w:val="22"/>
      <w:szCs w:val="22"/>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CA4"/>
    <w:pPr>
      <w:spacing w:before="100" w:beforeAutospacing="1" w:after="5" w:line="477" w:lineRule="auto"/>
      <w:ind w:right="60" w:firstLine="559"/>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6">
    <w:name w:val="16"/>
    <w:basedOn w:val="DefaultParagraphFont"/>
    <w:rsid w:val="00CE5CA4"/>
    <w:rPr>
      <w:rFonts w:ascii="DengXian" w:eastAsia="DengXian" w:hAnsi="DengXian" w:hint="eastAsia"/>
      <w:color w:val="0563C1"/>
      <w:u w:val="single"/>
    </w:rPr>
  </w:style>
  <w:style w:type="paragraph" w:customStyle="1" w:styleId="Default">
    <w:name w:val="Default"/>
    <w:rsid w:val="00CE5CA4"/>
    <w:pPr>
      <w:autoSpaceDE w:val="0"/>
      <w:autoSpaceDN w:val="0"/>
      <w:adjustRightInd w:val="0"/>
    </w:pPr>
    <w:rPr>
      <w:rFonts w:ascii="Times New Roman" w:hAnsi="Times New Roman" w:cs="Times New Roman"/>
      <w:color w:val="000000"/>
      <w:lang w:val="en-US"/>
    </w:rPr>
  </w:style>
  <w:style w:type="paragraph" w:customStyle="1" w:styleId="Pa0">
    <w:name w:val="Pa0"/>
    <w:basedOn w:val="Default"/>
    <w:next w:val="Default"/>
    <w:uiPriority w:val="99"/>
    <w:rsid w:val="00CE5CA4"/>
    <w:pPr>
      <w:spacing w:line="241" w:lineRule="atLeast"/>
    </w:pPr>
    <w:rPr>
      <w:color w:val="auto"/>
    </w:rPr>
  </w:style>
  <w:style w:type="character" w:styleId="Hyperlink">
    <w:name w:val="Hyperlink"/>
    <w:basedOn w:val="DefaultParagraphFont"/>
    <w:uiPriority w:val="99"/>
    <w:unhideWhenUsed/>
    <w:rsid w:val="00943327"/>
    <w:rPr>
      <w:color w:val="0000FF"/>
      <w:u w:val="single"/>
    </w:rPr>
  </w:style>
  <w:style w:type="paragraph" w:styleId="Header">
    <w:name w:val="header"/>
    <w:basedOn w:val="Normal"/>
    <w:link w:val="HeaderChar"/>
    <w:uiPriority w:val="99"/>
    <w:unhideWhenUsed/>
    <w:rsid w:val="00A7337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73374"/>
    <w:rPr>
      <w:rFonts w:ascii="Times New Roman" w:eastAsia="Times New Roman" w:hAnsi="Times New Roman" w:cs="Times New Roman"/>
      <w:color w:val="000000"/>
    </w:rPr>
  </w:style>
  <w:style w:type="paragraph" w:styleId="Footer">
    <w:name w:val="footer"/>
    <w:basedOn w:val="Normal"/>
    <w:link w:val="FooterChar"/>
    <w:uiPriority w:val="99"/>
    <w:unhideWhenUsed/>
    <w:rsid w:val="00A7337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73374"/>
    <w:rPr>
      <w:rFonts w:ascii="Times New Roman" w:eastAsia="Times New Roman" w:hAnsi="Times New Roman" w:cs="Times New Roman"/>
      <w:color w:val="000000"/>
    </w:rPr>
  </w:style>
  <w:style w:type="character" w:styleId="PlaceholderText">
    <w:name w:val="Placeholder Text"/>
    <w:basedOn w:val="DefaultParagraphFont"/>
    <w:uiPriority w:val="99"/>
    <w:semiHidden/>
    <w:rsid w:val="00A73374"/>
    <w:rPr>
      <w:color w:val="808080"/>
    </w:rPr>
  </w:style>
  <w:style w:type="character" w:styleId="PageNumber">
    <w:name w:val="page number"/>
    <w:basedOn w:val="DefaultParagraphFont"/>
    <w:uiPriority w:val="99"/>
    <w:semiHidden/>
    <w:unhideWhenUsed/>
    <w:rsid w:val="007868EA"/>
  </w:style>
  <w:style w:type="character" w:customStyle="1" w:styleId="UnresolvedMention">
    <w:name w:val="Unresolved Mention"/>
    <w:basedOn w:val="DefaultParagraphFont"/>
    <w:uiPriority w:val="99"/>
    <w:semiHidden/>
    <w:unhideWhenUsed/>
    <w:rsid w:val="00B20C7F"/>
    <w:rPr>
      <w:color w:val="605E5C"/>
      <w:shd w:val="clear" w:color="auto" w:fill="E1DFDD"/>
    </w:rPr>
  </w:style>
  <w:style w:type="paragraph" w:styleId="FootnoteText">
    <w:name w:val="footnote text"/>
    <w:basedOn w:val="Normal"/>
    <w:link w:val="FootnoteTextChar"/>
    <w:uiPriority w:val="99"/>
    <w:unhideWhenUsed/>
    <w:qFormat/>
    <w:rsid w:val="00162C04"/>
    <w:pPr>
      <w:spacing w:before="0" w:beforeAutospacing="0"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162C04"/>
    <w:rPr>
      <w:rFonts w:ascii="Times New Roman" w:eastAsia="Times New Roman" w:hAnsi="Times New Roman" w:cs="Times New Roman"/>
      <w:color w:val="000000"/>
      <w:sz w:val="20"/>
      <w:szCs w:val="20"/>
      <w:lang w:val="en-US"/>
    </w:rPr>
  </w:style>
  <w:style w:type="character" w:styleId="FootnoteReference">
    <w:name w:val="footnote reference"/>
    <w:basedOn w:val="DefaultParagraphFont"/>
    <w:uiPriority w:val="99"/>
    <w:unhideWhenUsed/>
    <w:qFormat/>
    <w:rsid w:val="00162C04"/>
    <w:rPr>
      <w:vertAlign w:val="superscript"/>
    </w:rPr>
  </w:style>
  <w:style w:type="paragraph" w:customStyle="1" w:styleId="footnotedescription">
    <w:name w:val="footnote description"/>
    <w:next w:val="Normal"/>
    <w:link w:val="footnotedescriptionChar"/>
    <w:qFormat/>
    <w:rsid w:val="00162C04"/>
    <w:pPr>
      <w:spacing w:line="259" w:lineRule="auto"/>
    </w:pPr>
    <w:rPr>
      <w:rFonts w:ascii="Times New Roman" w:eastAsia="Times New Roman" w:hAnsi="Times New Roman" w:cs="Times New Roman"/>
      <w:color w:val="000000"/>
      <w:sz w:val="20"/>
      <w:szCs w:val="22"/>
      <w:lang w:val="en-US"/>
    </w:rPr>
  </w:style>
  <w:style w:type="character" w:customStyle="1" w:styleId="footnotedescriptionChar">
    <w:name w:val="footnote description Char"/>
    <w:link w:val="footnotedescription"/>
    <w:qFormat/>
    <w:rsid w:val="00162C04"/>
    <w:rPr>
      <w:rFonts w:ascii="Times New Roman" w:eastAsia="Times New Roman" w:hAnsi="Times New Roman" w:cs="Times New Roman"/>
      <w:color w:val="000000"/>
      <w:sz w:val="20"/>
      <w:szCs w:val="22"/>
      <w:lang w:val="en-US"/>
    </w:rPr>
  </w:style>
  <w:style w:type="character" w:customStyle="1" w:styleId="footnotemark">
    <w:name w:val="footnote mark"/>
    <w:qFormat/>
    <w:rsid w:val="00162C04"/>
    <w:rPr>
      <w:rFonts w:ascii="Times New Roman" w:eastAsia="Times New Roman" w:hAnsi="Times New Roman" w:cs="Times New Roman"/>
      <w:color w:val="000000"/>
      <w:sz w:val="20"/>
      <w:vertAlign w:val="superscript"/>
    </w:rPr>
  </w:style>
  <w:style w:type="paragraph" w:customStyle="1" w:styleId="NoSpacing1">
    <w:name w:val="No Spacing1"/>
    <w:uiPriority w:val="1"/>
    <w:qFormat/>
    <w:rsid w:val="00162C04"/>
    <w:pPr>
      <w:ind w:right="60" w:firstLine="559"/>
      <w:jc w:val="both"/>
    </w:pPr>
    <w:rPr>
      <w:rFonts w:ascii="Times New Roman" w:eastAsia="Times New Roman" w:hAnsi="Times New Roman" w:cs="Times New Roman"/>
      <w:color w:val="000000"/>
      <w:szCs w:val="22"/>
      <w:lang w:val="en-US"/>
    </w:rPr>
  </w:style>
  <w:style w:type="paragraph" w:customStyle="1" w:styleId="Wawasan14Abstrakjudul">
    <w:name w:val="Wawasan_1.4 Abstrak_judul"/>
    <w:basedOn w:val="Normal"/>
    <w:rsid w:val="00FB29FE"/>
    <w:pPr>
      <w:spacing w:before="0" w:beforeAutospacing="0" w:after="0" w:line="240" w:lineRule="auto"/>
      <w:ind w:right="0" w:firstLine="0"/>
      <w:jc w:val="center"/>
    </w:pPr>
    <w:rPr>
      <w:b/>
      <w:bCs/>
      <w:color w:val="auto"/>
      <w:sz w:val="20"/>
      <w:szCs w:val="20"/>
    </w:rPr>
  </w:style>
  <w:style w:type="paragraph" w:customStyle="1" w:styleId="Wawasan15Abstrakbody">
    <w:name w:val="Wawasan_1.5 Abstrak_body"/>
    <w:basedOn w:val="Normal"/>
    <w:rsid w:val="00FB29FE"/>
    <w:pPr>
      <w:spacing w:before="0" w:beforeAutospacing="0" w:after="0" w:line="240" w:lineRule="auto"/>
      <w:ind w:right="0" w:firstLine="0"/>
    </w:pPr>
    <w:rPr>
      <w:color w:val="auto"/>
      <w:sz w:val="20"/>
      <w:szCs w:val="20"/>
    </w:rPr>
  </w:style>
  <w:style w:type="paragraph" w:customStyle="1" w:styleId="Wawasan16KeywordsJudul">
    <w:name w:val="Wawasan_1.6 Keywords_Judul"/>
    <w:basedOn w:val="Wawasan14Abstrakjudul"/>
    <w:rsid w:val="00FB29FE"/>
  </w:style>
  <w:style w:type="paragraph" w:customStyle="1" w:styleId="Wawasan24BodyArticle">
    <w:name w:val="Wawasan_2.4 Body Article"/>
    <w:basedOn w:val="Normal"/>
    <w:rsid w:val="003A657F"/>
    <w:pPr>
      <w:spacing w:before="0" w:beforeAutospacing="0" w:after="0" w:line="240" w:lineRule="auto"/>
      <w:ind w:right="0" w:firstLine="270"/>
      <w:contextualSpacing/>
    </w:pPr>
    <w:rPr>
      <w:color w:val="auto"/>
    </w:rPr>
  </w:style>
  <w:style w:type="paragraph" w:customStyle="1" w:styleId="Wawasan2Heading1Pendahuluandll">
    <w:name w:val="Wawasan_2 Heading 1 (Pendahuluan dll)"/>
    <w:basedOn w:val="Normal"/>
    <w:rsid w:val="003A657F"/>
    <w:pPr>
      <w:spacing w:after="100" w:afterAutospacing="1" w:line="240" w:lineRule="auto"/>
      <w:ind w:left="284" w:right="0" w:hanging="284"/>
    </w:pPr>
    <w:rPr>
      <w:b/>
      <w:bCs/>
      <w:color w:val="auto"/>
    </w:rPr>
  </w:style>
  <w:style w:type="paragraph" w:customStyle="1" w:styleId="Wawasan3ReferensiDaftarPustaka">
    <w:name w:val="Wawasan_3 Referensi (Daftar Pustaka)"/>
    <w:basedOn w:val="Normal"/>
    <w:rsid w:val="003A657F"/>
    <w:pPr>
      <w:widowControl w:val="0"/>
      <w:autoSpaceDE w:val="0"/>
      <w:autoSpaceDN w:val="0"/>
      <w:adjustRightInd w:val="0"/>
      <w:spacing w:after="100" w:afterAutospacing="1" w:line="240" w:lineRule="auto"/>
      <w:ind w:left="270" w:right="0" w:hanging="270"/>
    </w:pPr>
    <w:rPr>
      <w:color w:val="auto"/>
    </w:rPr>
  </w:style>
  <w:style w:type="paragraph" w:customStyle="1" w:styleId="Wawasan32Transliterasi">
    <w:name w:val="Wawasan_3.2 Transliterasi"/>
    <w:basedOn w:val="Normal"/>
    <w:rsid w:val="003A657F"/>
    <w:pPr>
      <w:spacing w:before="0" w:beforeAutospacing="0" w:after="0" w:line="240" w:lineRule="auto"/>
      <w:ind w:right="0" w:firstLine="0"/>
      <w:jc w:val="left"/>
    </w:pPr>
    <w:rPr>
      <w:rFonts w:ascii="Times New Arabic" w:hAnsi="Times New Arabic"/>
      <w:color w:val="auto"/>
    </w:rPr>
  </w:style>
  <w:style w:type="paragraph" w:customStyle="1" w:styleId="Wawasan23Heading3sub-subjudul">
    <w:name w:val="Wawasan_2.3 Heading 3 (sub-sub judul)"/>
    <w:basedOn w:val="Normal"/>
    <w:rsid w:val="003A657F"/>
    <w:pPr>
      <w:spacing w:after="100" w:afterAutospacing="1" w:line="240" w:lineRule="auto"/>
      <w:ind w:left="360" w:right="0" w:hanging="360"/>
    </w:pPr>
    <w:rPr>
      <w:b/>
      <w:bCs/>
      <w:color w:val="auto"/>
    </w:rPr>
  </w:style>
  <w:style w:type="paragraph" w:customStyle="1" w:styleId="Wawasan21Heading2subjudul">
    <w:name w:val="Wawasan_2.1 Heading 2 (sub judul)"/>
    <w:basedOn w:val="Normal"/>
    <w:rsid w:val="003A657F"/>
    <w:pPr>
      <w:spacing w:after="100" w:afterAutospacing="1" w:line="240" w:lineRule="auto"/>
      <w:ind w:left="284" w:right="0" w:hanging="284"/>
    </w:pPr>
    <w:rPr>
      <w:b/>
      <w:bCs/>
      <w:color w:val="auto"/>
    </w:rPr>
  </w:style>
  <w:style w:type="paragraph" w:styleId="ListParagraph">
    <w:name w:val="List Paragraph"/>
    <w:basedOn w:val="Normal"/>
    <w:uiPriority w:val="34"/>
    <w:qFormat/>
    <w:rsid w:val="0051125D"/>
    <w:pPr>
      <w:spacing w:before="0" w:beforeAutospacing="0" w:after="160" w:line="259" w:lineRule="auto"/>
      <w:ind w:left="720" w:right="0" w:firstLine="0"/>
      <w:contextualSpacing/>
      <w:jc w:val="left"/>
    </w:pPr>
    <w:rPr>
      <w:rFonts w:asciiTheme="minorHAnsi" w:eastAsiaTheme="minorEastAsia" w:hAnsiTheme="minorHAnsi" w:cstheme="minorBidi"/>
      <w:color w:val="auto"/>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4114">
      <w:bodyDiv w:val="1"/>
      <w:marLeft w:val="0"/>
      <w:marRight w:val="0"/>
      <w:marTop w:val="0"/>
      <w:marBottom w:val="0"/>
      <w:divBdr>
        <w:top w:val="none" w:sz="0" w:space="0" w:color="auto"/>
        <w:left w:val="none" w:sz="0" w:space="0" w:color="auto"/>
        <w:bottom w:val="none" w:sz="0" w:space="0" w:color="auto"/>
        <w:right w:val="none" w:sz="0" w:space="0" w:color="auto"/>
      </w:divBdr>
    </w:div>
    <w:div w:id="313994930">
      <w:bodyDiv w:val="1"/>
      <w:marLeft w:val="0"/>
      <w:marRight w:val="0"/>
      <w:marTop w:val="0"/>
      <w:marBottom w:val="0"/>
      <w:divBdr>
        <w:top w:val="none" w:sz="0" w:space="0" w:color="auto"/>
        <w:left w:val="none" w:sz="0" w:space="0" w:color="auto"/>
        <w:bottom w:val="none" w:sz="0" w:space="0" w:color="auto"/>
        <w:right w:val="none" w:sz="0" w:space="0" w:color="auto"/>
      </w:divBdr>
    </w:div>
    <w:div w:id="434403971">
      <w:bodyDiv w:val="1"/>
      <w:marLeft w:val="0"/>
      <w:marRight w:val="0"/>
      <w:marTop w:val="0"/>
      <w:marBottom w:val="0"/>
      <w:divBdr>
        <w:top w:val="none" w:sz="0" w:space="0" w:color="auto"/>
        <w:left w:val="none" w:sz="0" w:space="0" w:color="auto"/>
        <w:bottom w:val="none" w:sz="0" w:space="0" w:color="auto"/>
        <w:right w:val="none" w:sz="0" w:space="0" w:color="auto"/>
      </w:divBdr>
    </w:div>
    <w:div w:id="1010836264">
      <w:bodyDiv w:val="1"/>
      <w:marLeft w:val="0"/>
      <w:marRight w:val="0"/>
      <w:marTop w:val="0"/>
      <w:marBottom w:val="0"/>
      <w:divBdr>
        <w:top w:val="none" w:sz="0" w:space="0" w:color="auto"/>
        <w:left w:val="none" w:sz="0" w:space="0" w:color="auto"/>
        <w:bottom w:val="none" w:sz="0" w:space="0" w:color="auto"/>
        <w:right w:val="none" w:sz="0" w:space="0" w:color="auto"/>
      </w:divBdr>
    </w:div>
    <w:div w:id="1262252330">
      <w:bodyDiv w:val="1"/>
      <w:marLeft w:val="0"/>
      <w:marRight w:val="0"/>
      <w:marTop w:val="0"/>
      <w:marBottom w:val="0"/>
      <w:divBdr>
        <w:top w:val="none" w:sz="0" w:space="0" w:color="auto"/>
        <w:left w:val="none" w:sz="0" w:space="0" w:color="auto"/>
        <w:bottom w:val="none" w:sz="0" w:space="0" w:color="auto"/>
        <w:right w:val="none" w:sz="0" w:space="0" w:color="auto"/>
      </w:divBdr>
    </w:div>
    <w:div w:id="1312830249">
      <w:bodyDiv w:val="1"/>
      <w:marLeft w:val="0"/>
      <w:marRight w:val="0"/>
      <w:marTop w:val="0"/>
      <w:marBottom w:val="0"/>
      <w:divBdr>
        <w:top w:val="none" w:sz="0" w:space="0" w:color="auto"/>
        <w:left w:val="none" w:sz="0" w:space="0" w:color="auto"/>
        <w:bottom w:val="none" w:sz="0" w:space="0" w:color="auto"/>
        <w:right w:val="none" w:sz="0" w:space="0" w:color="auto"/>
      </w:divBdr>
    </w:div>
    <w:div w:id="1555853414">
      <w:bodyDiv w:val="1"/>
      <w:marLeft w:val="0"/>
      <w:marRight w:val="0"/>
      <w:marTop w:val="0"/>
      <w:marBottom w:val="0"/>
      <w:divBdr>
        <w:top w:val="none" w:sz="0" w:space="0" w:color="auto"/>
        <w:left w:val="none" w:sz="0" w:space="0" w:color="auto"/>
        <w:bottom w:val="none" w:sz="0" w:space="0" w:color="auto"/>
        <w:right w:val="none" w:sz="0" w:space="0" w:color="auto"/>
      </w:divBdr>
    </w:div>
    <w:div w:id="1641380897">
      <w:bodyDiv w:val="1"/>
      <w:marLeft w:val="0"/>
      <w:marRight w:val="0"/>
      <w:marTop w:val="0"/>
      <w:marBottom w:val="0"/>
      <w:divBdr>
        <w:top w:val="none" w:sz="0" w:space="0" w:color="auto"/>
        <w:left w:val="none" w:sz="0" w:space="0" w:color="auto"/>
        <w:bottom w:val="none" w:sz="0" w:space="0" w:color="auto"/>
        <w:right w:val="none" w:sz="0" w:space="0" w:color="auto"/>
      </w:divBdr>
    </w:div>
    <w:div w:id="1697342196">
      <w:bodyDiv w:val="1"/>
      <w:marLeft w:val="0"/>
      <w:marRight w:val="0"/>
      <w:marTop w:val="0"/>
      <w:marBottom w:val="0"/>
      <w:divBdr>
        <w:top w:val="none" w:sz="0" w:space="0" w:color="auto"/>
        <w:left w:val="none" w:sz="0" w:space="0" w:color="auto"/>
        <w:bottom w:val="none" w:sz="0" w:space="0" w:color="auto"/>
        <w:right w:val="none" w:sz="0" w:space="0" w:color="auto"/>
      </w:divBdr>
    </w:div>
    <w:div w:id="1924951509">
      <w:bodyDiv w:val="1"/>
      <w:marLeft w:val="0"/>
      <w:marRight w:val="0"/>
      <w:marTop w:val="0"/>
      <w:marBottom w:val="0"/>
      <w:divBdr>
        <w:top w:val="none" w:sz="0" w:space="0" w:color="auto"/>
        <w:left w:val="none" w:sz="0" w:space="0" w:color="auto"/>
        <w:bottom w:val="none" w:sz="0" w:space="0" w:color="auto"/>
        <w:right w:val="none" w:sz="0" w:space="0" w:color="auto"/>
      </w:divBdr>
    </w:div>
    <w:div w:id="2035229030">
      <w:bodyDiv w:val="1"/>
      <w:marLeft w:val="0"/>
      <w:marRight w:val="0"/>
      <w:marTop w:val="0"/>
      <w:marBottom w:val="0"/>
      <w:divBdr>
        <w:top w:val="none" w:sz="0" w:space="0" w:color="auto"/>
        <w:left w:val="none" w:sz="0" w:space="0" w:color="auto"/>
        <w:bottom w:val="none" w:sz="0" w:space="0" w:color="auto"/>
        <w:right w:val="none" w:sz="0" w:space="0" w:color="auto"/>
      </w:divBdr>
    </w:div>
    <w:div w:id="20602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yperlink" Target="mailto:rolintaneo0402@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3.  NO.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D658C1-96C6-4E27-937C-D8785B16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4384</Words>
  <Characters>24992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2023-01-05T12:49:00Z</cp:lastPrinted>
  <dcterms:created xsi:type="dcterms:W3CDTF">2023-09-13T15:39:00Z</dcterms:created>
  <dcterms:modified xsi:type="dcterms:W3CDTF">2023-09-13T15:40:00Z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82842623-703b-3ae5-8f5c-3fcca239965f</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